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87755" w14:textId="77777777" w:rsidR="00913674" w:rsidRPr="002E0DFF" w:rsidRDefault="00913674" w:rsidP="00913674">
      <w:pPr>
        <w:spacing w:after="0" w:line="240" w:lineRule="auto"/>
        <w:rPr>
          <w:rFonts w:eastAsia="Times New Roman" w:cstheme="minorHAnsi"/>
          <w:b/>
          <w:bCs/>
        </w:rPr>
      </w:pPr>
      <w:bookmarkStart w:id="0" w:name="_GoBack"/>
      <w:bookmarkEnd w:id="0"/>
    </w:p>
    <w:p w14:paraId="5498042D" w14:textId="7F5C9884" w:rsidR="00916F76" w:rsidRDefault="00913674" w:rsidP="00916F76">
      <w:pPr>
        <w:pStyle w:val="Heading1"/>
        <w:spacing w:before="0"/>
        <w:rPr>
          <w:rFonts w:eastAsia="Times New Roman"/>
        </w:rPr>
      </w:pPr>
      <w:r w:rsidRPr="00913674">
        <w:rPr>
          <w:rFonts w:eastAsia="Times New Roman"/>
        </w:rPr>
        <w:t>Topic Choices</w:t>
      </w:r>
      <w:r w:rsidR="00916F76">
        <w:rPr>
          <w:rFonts w:eastAsia="Times New Roman"/>
        </w:rPr>
        <w:t xml:space="preserve"> for ART100 Research Paper</w:t>
      </w:r>
      <w:r w:rsidRPr="00913674">
        <w:rPr>
          <w:rFonts w:eastAsia="Times New Roman"/>
        </w:rPr>
        <w:t xml:space="preserve"> </w:t>
      </w:r>
    </w:p>
    <w:p w14:paraId="6257723D" w14:textId="66E521FD" w:rsidR="00913674" w:rsidRPr="00913674" w:rsidRDefault="00913674" w:rsidP="00913674">
      <w:pPr>
        <w:spacing w:after="0" w:line="240" w:lineRule="auto"/>
        <w:rPr>
          <w:rFonts w:eastAsia="Times New Roman" w:cstheme="minorHAnsi"/>
        </w:rPr>
      </w:pPr>
      <w:r w:rsidRPr="00913674">
        <w:rPr>
          <w:rFonts w:eastAsia="Times New Roman" w:cstheme="minorHAnsi"/>
          <w:b/>
          <w:bCs/>
        </w:rPr>
        <w:t>(Choose one of the following topics for your paper):</w:t>
      </w:r>
    </w:p>
    <w:p w14:paraId="70639F56" w14:textId="77777777" w:rsidR="00913674" w:rsidRPr="002E0DFF" w:rsidRDefault="00913674" w:rsidP="00913674">
      <w:pPr>
        <w:spacing w:after="0" w:line="240" w:lineRule="auto"/>
        <w:rPr>
          <w:rFonts w:eastAsia="Times New Roman" w:cstheme="minorHAnsi"/>
          <w:b/>
        </w:rPr>
      </w:pPr>
    </w:p>
    <w:p w14:paraId="071ADDAA" w14:textId="02E6EECB" w:rsidR="00913674" w:rsidRPr="002E0DFF" w:rsidRDefault="00913674" w:rsidP="00913674">
      <w:pPr>
        <w:spacing w:after="0" w:line="240" w:lineRule="auto"/>
        <w:rPr>
          <w:rFonts w:eastAsia="Times New Roman" w:cstheme="minorHAnsi"/>
          <w:b/>
        </w:rPr>
      </w:pPr>
      <w:r w:rsidRPr="002E0DFF">
        <w:rPr>
          <w:rFonts w:eastAsia="Times New Roman" w:cstheme="minorHAnsi"/>
          <w:b/>
        </w:rPr>
        <w:t>Topic 1:  Contexts and Influences of 20</w:t>
      </w:r>
      <w:r w:rsidRPr="002E0DFF">
        <w:rPr>
          <w:rFonts w:eastAsia="Times New Roman" w:cstheme="minorHAnsi"/>
          <w:b/>
          <w:vertAlign w:val="superscript"/>
        </w:rPr>
        <w:t>th</w:t>
      </w:r>
      <w:r w:rsidRPr="002E0DFF">
        <w:rPr>
          <w:rFonts w:eastAsia="Times New Roman" w:cstheme="minorHAnsi"/>
          <w:b/>
        </w:rPr>
        <w:t xml:space="preserve"> Century Art Historical Movements</w:t>
      </w:r>
    </w:p>
    <w:p w14:paraId="2CB686F2"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t>Select one of the following movements in 20</w:t>
      </w:r>
      <w:r w:rsidRPr="002E0DFF">
        <w:rPr>
          <w:rFonts w:eastAsia="Times New Roman" w:cstheme="minorHAnsi"/>
          <w:vertAlign w:val="superscript"/>
        </w:rPr>
        <w:t>th</w:t>
      </w:r>
      <w:r w:rsidRPr="002E0DFF">
        <w:rPr>
          <w:rFonts w:eastAsia="Times New Roman" w:cstheme="minorHAnsi"/>
        </w:rPr>
        <w:t xml:space="preserve"> century art: Futurism, Dada, Pop Art, Surrealism, and Abstract Expressionism.  Situate the movement within its political, cultural and historical context to illustrate how historical context influenced the techniques, content, style, and ideology of the movement.  Support your argument with examples of artists and their work. </w:t>
      </w:r>
    </w:p>
    <w:p w14:paraId="32D8B9DF" w14:textId="77777777" w:rsidR="00913674" w:rsidRPr="002E0DFF" w:rsidRDefault="00913674" w:rsidP="00913674">
      <w:pPr>
        <w:spacing w:after="0" w:line="240" w:lineRule="auto"/>
        <w:rPr>
          <w:rFonts w:eastAsia="Times New Roman" w:cstheme="minorHAnsi"/>
        </w:rPr>
      </w:pPr>
    </w:p>
    <w:p w14:paraId="7163B0A0" w14:textId="218A4E96" w:rsidR="00913674" w:rsidRPr="002E0DFF" w:rsidRDefault="00913674" w:rsidP="00913674">
      <w:pPr>
        <w:spacing w:after="0" w:line="240" w:lineRule="auto"/>
        <w:rPr>
          <w:rFonts w:eastAsia="Times New Roman" w:cstheme="minorHAnsi"/>
        </w:rPr>
      </w:pPr>
      <w:r w:rsidRPr="002E0DFF">
        <w:rPr>
          <w:rFonts w:eastAsia="Times New Roman" w:cstheme="minorHAnsi"/>
        </w:rPr>
        <w:t xml:space="preserve">Recommended resources for Topic 1: </w:t>
      </w:r>
    </w:p>
    <w:p w14:paraId="188B33C0" w14:textId="77777777" w:rsidR="00913674" w:rsidRPr="002E0DFF" w:rsidRDefault="00913674" w:rsidP="00913674">
      <w:pPr>
        <w:spacing w:after="0" w:line="240" w:lineRule="auto"/>
        <w:rPr>
          <w:rFonts w:eastAsia="Times New Roman" w:cstheme="minorHAnsi"/>
        </w:rPr>
      </w:pPr>
    </w:p>
    <w:p w14:paraId="187BEB9B" w14:textId="5EA5AA84" w:rsidR="00913674" w:rsidRPr="002E0DFF" w:rsidRDefault="00913674" w:rsidP="00913674">
      <w:pPr>
        <w:spacing w:after="0" w:line="240" w:lineRule="auto"/>
        <w:rPr>
          <w:rFonts w:eastAsia="Times New Roman" w:cstheme="minorHAnsi"/>
        </w:rPr>
      </w:pPr>
      <w:r w:rsidRPr="002E0DFF">
        <w:rPr>
          <w:rFonts w:eastAsia="Times New Roman" w:cstheme="minorHAnsi"/>
        </w:rPr>
        <w:t xml:space="preserve">Futurism </w:t>
      </w:r>
    </w:p>
    <w:p w14:paraId="650A47FD" w14:textId="77777777" w:rsidR="00913674" w:rsidRPr="002E0DFF" w:rsidRDefault="00913674" w:rsidP="00913674">
      <w:pPr>
        <w:pStyle w:val="ListParagraph"/>
        <w:numPr>
          <w:ilvl w:val="0"/>
          <w:numId w:val="6"/>
        </w:numPr>
        <w:spacing w:after="0" w:line="240" w:lineRule="auto"/>
        <w:rPr>
          <w:rFonts w:eastAsia="Times New Roman" w:cstheme="minorHAnsi"/>
        </w:rPr>
      </w:pPr>
      <w:r w:rsidRPr="002E0DFF">
        <w:rPr>
          <w:rFonts w:eastAsia="Times New Roman" w:cstheme="minorHAnsi"/>
        </w:rPr>
        <w:t xml:space="preserve">Willette, J. (2016). Cubism, Futurism and the Great War, Part One.  Art History Unstuffed.  Retrieved from </w:t>
      </w:r>
      <w:hyperlink r:id="rId5" w:history="1">
        <w:r w:rsidRPr="002E0DFF">
          <w:rPr>
            <w:rStyle w:val="Hyperlink"/>
            <w:rFonts w:eastAsia="Times New Roman" w:cstheme="minorHAnsi"/>
          </w:rPr>
          <w:t>http://arthistoryunstuffed.com/cubism-futurism-and-the-great-war/</w:t>
        </w:r>
      </w:hyperlink>
    </w:p>
    <w:p w14:paraId="567894F8" w14:textId="77777777" w:rsidR="00913674" w:rsidRPr="002E0DFF" w:rsidRDefault="00913674" w:rsidP="00913674">
      <w:pPr>
        <w:pStyle w:val="ListParagraph"/>
        <w:numPr>
          <w:ilvl w:val="0"/>
          <w:numId w:val="6"/>
        </w:numPr>
        <w:spacing w:after="0" w:line="240" w:lineRule="auto"/>
        <w:rPr>
          <w:rFonts w:eastAsia="Times New Roman" w:cstheme="minorHAnsi"/>
        </w:rPr>
      </w:pPr>
      <w:r w:rsidRPr="002E0DFF">
        <w:rPr>
          <w:rFonts w:eastAsia="Times New Roman" w:cstheme="minorHAnsi"/>
        </w:rPr>
        <w:t>Willette, J. (2016). Cubism, Futurism and the Great War, Part Two.  Art History Unstuffed.  Retrieved from http://arthistoryunstuffed.com/cubism-futurism-and-the-great-war-part-two/</w:t>
      </w:r>
    </w:p>
    <w:p w14:paraId="6AF7C2AF" w14:textId="0DA6E13C" w:rsidR="00913674" w:rsidRPr="002E0DFF" w:rsidRDefault="00913674" w:rsidP="00913674">
      <w:pPr>
        <w:spacing w:after="0" w:line="240" w:lineRule="auto"/>
        <w:rPr>
          <w:rFonts w:eastAsia="Times New Roman" w:cstheme="minorHAnsi"/>
        </w:rPr>
      </w:pPr>
      <w:r w:rsidRPr="002E0DFF">
        <w:rPr>
          <w:rFonts w:eastAsia="Times New Roman" w:cstheme="minorHAnsi"/>
        </w:rPr>
        <w:t>Dada</w:t>
      </w:r>
    </w:p>
    <w:p w14:paraId="3DF4B68D" w14:textId="77777777" w:rsidR="00913674" w:rsidRPr="002E0DFF" w:rsidRDefault="00913674" w:rsidP="00913674">
      <w:pPr>
        <w:numPr>
          <w:ilvl w:val="0"/>
          <w:numId w:val="5"/>
        </w:numPr>
        <w:spacing w:after="0" w:line="240" w:lineRule="auto"/>
        <w:ind w:left="360"/>
        <w:rPr>
          <w:rFonts w:eastAsia="Times New Roman" w:cstheme="minorHAnsi"/>
        </w:rPr>
      </w:pPr>
      <w:proofErr w:type="spellStart"/>
      <w:r w:rsidRPr="002E0DFF">
        <w:rPr>
          <w:rFonts w:eastAsia="Times New Roman" w:cstheme="minorHAnsi"/>
        </w:rPr>
        <w:t>Maftei</w:t>
      </w:r>
      <w:proofErr w:type="spellEnd"/>
      <w:r w:rsidRPr="002E0DFF">
        <w:rPr>
          <w:rFonts w:eastAsia="Times New Roman" w:cstheme="minorHAnsi"/>
        </w:rPr>
        <w:t xml:space="preserve">, S. (2010). Between "critique" and propaganda: The critical self-understanding of art in the historical avant-garde.  The case of Dada.  </w:t>
      </w:r>
      <w:r w:rsidRPr="002E0DFF">
        <w:rPr>
          <w:rFonts w:eastAsia="Times New Roman" w:cstheme="minorHAnsi"/>
          <w:i/>
          <w:iCs/>
        </w:rPr>
        <w:t>Journal for the Study of Religions and Ideologies,</w:t>
      </w:r>
      <w:r w:rsidRPr="002E0DFF">
        <w:rPr>
          <w:rFonts w:eastAsia="Times New Roman" w:cstheme="minorHAnsi"/>
        </w:rPr>
        <w:t xml:space="preserve"> </w:t>
      </w:r>
      <w:r w:rsidRPr="002E0DFF">
        <w:rPr>
          <w:rFonts w:eastAsia="Times New Roman" w:cstheme="minorHAnsi"/>
          <w:i/>
          <w:iCs/>
        </w:rPr>
        <w:t>9</w:t>
      </w:r>
      <w:r w:rsidRPr="002E0DFF">
        <w:rPr>
          <w:rFonts w:eastAsia="Times New Roman" w:cstheme="minorHAnsi"/>
        </w:rPr>
        <w:t>(27), 219-245.</w:t>
      </w:r>
      <w:r w:rsidRPr="002E0DFF">
        <w:rPr>
          <w:rFonts w:eastAsia="Times New Roman" w:cstheme="minorHAnsi"/>
        </w:rPr>
        <w:object w:dxaOrig="1534" w:dyaOrig="991" w14:anchorId="60389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11" ShapeID="_x0000_i1025" DrawAspect="Icon" ObjectID="_1627031038" r:id="rId7"/>
        </w:object>
      </w:r>
    </w:p>
    <w:p w14:paraId="700C062D" w14:textId="7B37EF81" w:rsidR="00913674" w:rsidRPr="002E0DFF" w:rsidRDefault="00913674" w:rsidP="00913674">
      <w:pPr>
        <w:spacing w:after="0" w:line="240" w:lineRule="auto"/>
        <w:rPr>
          <w:rFonts w:eastAsia="Times New Roman" w:cstheme="minorHAnsi"/>
        </w:rPr>
      </w:pPr>
      <w:r w:rsidRPr="002E0DFF">
        <w:rPr>
          <w:rFonts w:eastAsia="Times New Roman" w:cstheme="minorHAnsi"/>
        </w:rPr>
        <w:t>Pop Art</w:t>
      </w:r>
    </w:p>
    <w:p w14:paraId="1855ED14" w14:textId="77777777" w:rsidR="00913674" w:rsidRPr="002E0DFF" w:rsidRDefault="00913674" w:rsidP="00913674">
      <w:pPr>
        <w:pStyle w:val="ListParagraph"/>
        <w:numPr>
          <w:ilvl w:val="0"/>
          <w:numId w:val="5"/>
        </w:numPr>
        <w:spacing w:after="0" w:line="240" w:lineRule="auto"/>
        <w:ind w:left="450" w:hanging="450"/>
        <w:rPr>
          <w:rFonts w:eastAsia="Times New Roman" w:cstheme="minorHAnsi"/>
        </w:rPr>
      </w:pPr>
      <w:r w:rsidRPr="002E0DFF">
        <w:rPr>
          <w:rFonts w:eastAsia="Times New Roman" w:cstheme="minorHAnsi"/>
        </w:rPr>
        <w:t xml:space="preserve">Curley, J. (2013). A Conspiracy of Images: Andy Warhol, Gerhard Richter, and the art of the Cold War.  Retrieved from </w:t>
      </w:r>
      <w:hyperlink r:id="rId8" w:history="1">
        <w:r w:rsidRPr="002E0DFF">
          <w:rPr>
            <w:rStyle w:val="Hyperlink"/>
            <w:rFonts w:eastAsia="Times New Roman" w:cstheme="minorHAnsi"/>
          </w:rPr>
          <w:t>http://americainclass.org/wp-content/uploads/2014/03/Curley-Reading.pdf</w:t>
        </w:r>
      </w:hyperlink>
      <w:r w:rsidRPr="002E0DFF">
        <w:rPr>
          <w:rFonts w:eastAsia="Times New Roman" w:cstheme="minorHAnsi"/>
        </w:rPr>
        <w:t xml:space="preserve"> </w:t>
      </w:r>
    </w:p>
    <w:p w14:paraId="04B9B902" w14:textId="77777777" w:rsidR="00913674" w:rsidRPr="002E0DFF" w:rsidRDefault="00913674" w:rsidP="00913674">
      <w:pPr>
        <w:spacing w:after="0" w:line="240" w:lineRule="auto"/>
        <w:rPr>
          <w:rFonts w:eastAsia="Times New Roman" w:cstheme="minorHAnsi"/>
        </w:rPr>
      </w:pPr>
    </w:p>
    <w:p w14:paraId="3374CE24" w14:textId="2FE12BE4" w:rsidR="00913674" w:rsidRPr="002E0DFF" w:rsidRDefault="00913674" w:rsidP="00913674">
      <w:pPr>
        <w:spacing w:after="0" w:line="240" w:lineRule="auto"/>
        <w:rPr>
          <w:rFonts w:eastAsia="Times New Roman" w:cstheme="minorHAnsi"/>
        </w:rPr>
      </w:pPr>
      <w:r w:rsidRPr="002E0DFF">
        <w:rPr>
          <w:rFonts w:eastAsia="Times New Roman" w:cstheme="minorHAnsi"/>
        </w:rPr>
        <w:t>Surrealism</w:t>
      </w:r>
    </w:p>
    <w:p w14:paraId="2315058F" w14:textId="36F08597" w:rsidR="00913674" w:rsidRPr="002E0DFF" w:rsidRDefault="00913674" w:rsidP="00913674">
      <w:pPr>
        <w:pStyle w:val="ListParagraph"/>
        <w:numPr>
          <w:ilvl w:val="0"/>
          <w:numId w:val="5"/>
        </w:numPr>
        <w:spacing w:after="0" w:line="240" w:lineRule="auto"/>
        <w:ind w:left="450" w:hanging="450"/>
        <w:rPr>
          <w:rFonts w:eastAsia="Times New Roman" w:cstheme="minorHAnsi"/>
        </w:rPr>
      </w:pPr>
      <w:r w:rsidRPr="002E0DFF">
        <w:rPr>
          <w:rFonts w:eastAsia="Times New Roman" w:cstheme="minorHAnsi"/>
        </w:rPr>
        <w:t xml:space="preserve">Willette, J. (2011).  Surrealism in Context.  Art History Unstuffed.  Retrieved from </w:t>
      </w:r>
      <w:hyperlink r:id="rId9" w:history="1">
        <w:r w:rsidRPr="002E0DFF">
          <w:rPr>
            <w:rStyle w:val="Hyperlink"/>
            <w:rFonts w:eastAsia="Times New Roman" w:cstheme="minorHAnsi"/>
          </w:rPr>
          <w:t>http://arthistoryunstuffed.com/surrealism-in-context/</w:t>
        </w:r>
      </w:hyperlink>
      <w:r w:rsidRPr="002E0DFF">
        <w:rPr>
          <w:rFonts w:eastAsia="Times New Roman" w:cstheme="minorHAnsi"/>
        </w:rPr>
        <w:t xml:space="preserve"> </w:t>
      </w:r>
    </w:p>
    <w:p w14:paraId="2BFF3407" w14:textId="77777777" w:rsidR="00913674" w:rsidRPr="002E0DFF" w:rsidRDefault="00913674" w:rsidP="00913674">
      <w:pPr>
        <w:spacing w:after="0" w:line="240" w:lineRule="auto"/>
        <w:rPr>
          <w:rFonts w:eastAsia="Times New Roman" w:cstheme="minorHAnsi"/>
        </w:rPr>
      </w:pPr>
    </w:p>
    <w:p w14:paraId="3BA71599"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t>Abstract Expressionism</w:t>
      </w:r>
    </w:p>
    <w:p w14:paraId="55C5ACCC" w14:textId="4A1FA91A" w:rsidR="00913674" w:rsidRPr="002E0DFF" w:rsidRDefault="00913674" w:rsidP="00913674">
      <w:pPr>
        <w:pStyle w:val="ListParagraph"/>
        <w:numPr>
          <w:ilvl w:val="0"/>
          <w:numId w:val="5"/>
        </w:numPr>
        <w:spacing w:after="0" w:line="240" w:lineRule="auto"/>
        <w:ind w:left="450" w:hanging="450"/>
        <w:rPr>
          <w:rFonts w:eastAsia="Times New Roman" w:cstheme="minorHAnsi"/>
        </w:rPr>
      </w:pPr>
      <w:r w:rsidRPr="002E0DFF">
        <w:rPr>
          <w:rFonts w:eastAsia="Times New Roman" w:cstheme="minorHAnsi"/>
        </w:rPr>
        <w:t xml:space="preserve">Paul, S. (2004).  Abstract Expressionism.  Heilbrunn Timeline of Art History, Metropolitan Museum of Art. Retrieved from </w:t>
      </w:r>
      <w:hyperlink r:id="rId10" w:history="1">
        <w:r w:rsidRPr="002E0DFF">
          <w:rPr>
            <w:rStyle w:val="Hyperlink"/>
            <w:rFonts w:eastAsia="Times New Roman" w:cstheme="minorHAnsi"/>
          </w:rPr>
          <w:t>https://www.metmuseum.org/toah/hd/abex/hd_abex.htm</w:t>
        </w:r>
      </w:hyperlink>
      <w:r w:rsidRPr="002E0DFF">
        <w:rPr>
          <w:rFonts w:eastAsia="Times New Roman" w:cstheme="minorHAnsi"/>
        </w:rPr>
        <w:t xml:space="preserve"> </w:t>
      </w:r>
    </w:p>
    <w:p w14:paraId="1B8302A0" w14:textId="77777777" w:rsidR="00913674" w:rsidRPr="002E0DFF" w:rsidRDefault="00913674" w:rsidP="00913674">
      <w:pPr>
        <w:spacing w:after="0" w:line="240" w:lineRule="auto"/>
        <w:rPr>
          <w:rFonts w:eastAsia="Times New Roman" w:cstheme="minorHAnsi"/>
        </w:rPr>
      </w:pPr>
    </w:p>
    <w:p w14:paraId="0C0878EA" w14:textId="77777777" w:rsidR="00913674" w:rsidRPr="002E0DFF" w:rsidRDefault="00913674" w:rsidP="00913674">
      <w:pPr>
        <w:spacing w:after="0" w:line="240" w:lineRule="auto"/>
        <w:rPr>
          <w:rFonts w:eastAsia="Times New Roman" w:cstheme="minorHAnsi"/>
          <w:b/>
        </w:rPr>
      </w:pPr>
      <w:r w:rsidRPr="002E0DFF">
        <w:rPr>
          <w:rFonts w:eastAsia="Times New Roman" w:cstheme="minorHAnsi"/>
          <w:b/>
        </w:rPr>
        <w:t>Topic 2:  Art as Communication</w:t>
      </w:r>
    </w:p>
    <w:p w14:paraId="3C1352BE"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t xml:space="preserve">Discuss the ways that artists can use art to communicate a political or social message.  Identify two artists from two different countries or centuries that have used their art to comment on a social or political issue.  Evaluate whether the message was effectively communicated through their art by researching the historical context of the artist and the issue they were commenting on.  </w:t>
      </w:r>
    </w:p>
    <w:p w14:paraId="4C5A2388" w14:textId="77777777" w:rsidR="00913674" w:rsidRPr="002E0DFF" w:rsidRDefault="00913674" w:rsidP="00913674">
      <w:pPr>
        <w:pStyle w:val="ListParagraph"/>
        <w:numPr>
          <w:ilvl w:val="0"/>
          <w:numId w:val="7"/>
        </w:numPr>
        <w:spacing w:after="0" w:line="240" w:lineRule="auto"/>
        <w:rPr>
          <w:rFonts w:eastAsia="Times New Roman" w:cstheme="minorHAnsi"/>
        </w:rPr>
      </w:pPr>
      <w:r w:rsidRPr="002E0DFF">
        <w:rPr>
          <w:rFonts w:eastAsia="Times New Roman" w:cstheme="minorHAnsi"/>
        </w:rPr>
        <w:t xml:space="preserve">Articles with examples of artwork with a social and/or political message (you may not use these examples in your paper): </w:t>
      </w:r>
    </w:p>
    <w:p w14:paraId="3911F073"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Laborie, S (2018) Raft of the Medusa.  Louvre.  Retrieved from </w:t>
      </w:r>
      <w:hyperlink r:id="rId11" w:history="1">
        <w:r w:rsidRPr="002E0DFF">
          <w:rPr>
            <w:rStyle w:val="Hyperlink"/>
            <w:rFonts w:eastAsia="Times New Roman" w:cstheme="minorHAnsi"/>
          </w:rPr>
          <w:t>https://www.louvre.fr/en/oeuvre-notices/raft-medusa</w:t>
        </w:r>
      </w:hyperlink>
      <w:r w:rsidRPr="002E0DFF">
        <w:rPr>
          <w:rFonts w:eastAsia="Times New Roman" w:cstheme="minorHAnsi"/>
        </w:rPr>
        <w:t xml:space="preserve"> </w:t>
      </w:r>
    </w:p>
    <w:p w14:paraId="00422FAB"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Dorbani, M.B. (2018) July 28: Liberty Leading the People.  Louvre. </w:t>
      </w:r>
      <w:hyperlink r:id="rId12" w:history="1">
        <w:r w:rsidRPr="002E0DFF">
          <w:rPr>
            <w:rStyle w:val="Hyperlink"/>
            <w:rFonts w:eastAsia="Times New Roman" w:cstheme="minorHAnsi"/>
          </w:rPr>
          <w:t>https://www.louvre.fr/en/oeuvre-notices/july-28-liberty-leading-people</w:t>
        </w:r>
      </w:hyperlink>
      <w:r w:rsidRPr="002E0DFF">
        <w:rPr>
          <w:rFonts w:eastAsia="Times New Roman" w:cstheme="minorHAnsi"/>
        </w:rPr>
        <w:t xml:space="preserve"> </w:t>
      </w:r>
    </w:p>
    <w:p w14:paraId="062B55F7" w14:textId="77777777" w:rsidR="00913674" w:rsidRPr="002E0DFF" w:rsidRDefault="00913674" w:rsidP="00913674">
      <w:pPr>
        <w:spacing w:after="0" w:line="240" w:lineRule="auto"/>
        <w:rPr>
          <w:rFonts w:eastAsia="Times New Roman" w:cstheme="minorHAnsi"/>
        </w:rPr>
      </w:pPr>
    </w:p>
    <w:p w14:paraId="478DA9F7" w14:textId="77777777" w:rsidR="00913674" w:rsidRPr="002E0DFF" w:rsidRDefault="00913674" w:rsidP="00913674">
      <w:pPr>
        <w:spacing w:after="0" w:line="240" w:lineRule="auto"/>
        <w:rPr>
          <w:rFonts w:eastAsia="Times New Roman" w:cstheme="minorHAnsi"/>
          <w:b/>
        </w:rPr>
      </w:pPr>
      <w:r w:rsidRPr="002E0DFF">
        <w:rPr>
          <w:rFonts w:eastAsia="Times New Roman" w:cstheme="minorHAnsi"/>
          <w:b/>
        </w:rPr>
        <w:t>Topic 3:  Non-Western Influences on Modern Art</w:t>
      </w:r>
    </w:p>
    <w:p w14:paraId="20BE4AA6"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t xml:space="preserve">Discuss the influence of African or Asian art on Western art from the 19th century through the present, citing specific works, artists, styles, or movements that have been influential. </w:t>
      </w:r>
    </w:p>
    <w:p w14:paraId="3F4294CD" w14:textId="77777777" w:rsidR="00913674" w:rsidRPr="002E0DFF" w:rsidRDefault="00913674" w:rsidP="00913674">
      <w:pPr>
        <w:pStyle w:val="ListParagraph"/>
        <w:numPr>
          <w:ilvl w:val="0"/>
          <w:numId w:val="7"/>
        </w:numPr>
        <w:spacing w:after="0" w:line="240" w:lineRule="auto"/>
        <w:rPr>
          <w:rFonts w:eastAsia="Times New Roman" w:cstheme="minorHAnsi"/>
        </w:rPr>
      </w:pPr>
      <w:r w:rsidRPr="002E0DFF">
        <w:rPr>
          <w:rFonts w:eastAsia="Times New Roman" w:cstheme="minorHAnsi"/>
        </w:rPr>
        <w:t xml:space="preserve">Recommended resources to get you started: </w:t>
      </w:r>
    </w:p>
    <w:p w14:paraId="785355C9"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Murrell, D. (2008). African Influences on Modern Art. Heilbrunn Timeline of Art History, Metropolitan Museum of Art. Retrieved from </w:t>
      </w:r>
      <w:hyperlink r:id="rId13" w:history="1">
        <w:r w:rsidRPr="002E0DFF">
          <w:rPr>
            <w:rStyle w:val="Hyperlink"/>
            <w:rFonts w:eastAsia="Times New Roman" w:cstheme="minorHAnsi"/>
          </w:rPr>
          <w:t>https://www.metmuseum.org/toah/hd/aima/hd_aima.htm</w:t>
        </w:r>
      </w:hyperlink>
      <w:r w:rsidRPr="002E0DFF">
        <w:rPr>
          <w:rFonts w:eastAsia="Times New Roman" w:cstheme="minorHAnsi"/>
        </w:rPr>
        <w:t xml:space="preserve">. </w:t>
      </w:r>
    </w:p>
    <w:p w14:paraId="300EEDA4"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Michael, C. (2010). Henri de Toulouse-Lautrec. Heilbrunn Timeline of Art History, Metropolitan Museum of Art. Retrieved from </w:t>
      </w:r>
      <w:hyperlink r:id="rId14" w:history="1">
        <w:r w:rsidRPr="002E0DFF">
          <w:rPr>
            <w:rStyle w:val="Hyperlink"/>
            <w:rFonts w:eastAsia="Times New Roman" w:cstheme="minorHAnsi"/>
          </w:rPr>
          <w:t>https://www.metmuseum.org/toah/hd/laut/hd_laut.htm</w:t>
        </w:r>
      </w:hyperlink>
      <w:r w:rsidRPr="002E0DFF">
        <w:rPr>
          <w:rFonts w:eastAsia="Times New Roman" w:cstheme="minorHAnsi"/>
        </w:rPr>
        <w:t xml:space="preserve"> </w:t>
      </w:r>
    </w:p>
    <w:p w14:paraId="47BF7C87"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Ives, C. (2004). Japonisme. Heilbrunn Timeline of Art History, Metropolitan Museum of Art. Retrieved from </w:t>
      </w:r>
      <w:hyperlink r:id="rId15" w:history="1">
        <w:r w:rsidRPr="002E0DFF">
          <w:rPr>
            <w:rStyle w:val="Hyperlink"/>
            <w:rFonts w:eastAsia="Times New Roman" w:cstheme="minorHAnsi"/>
          </w:rPr>
          <w:t>https://www.metmuseum.org/toah/hd/jpon/hd_jpon.htm</w:t>
        </w:r>
      </w:hyperlink>
      <w:r w:rsidRPr="002E0DFF">
        <w:rPr>
          <w:rFonts w:eastAsia="Times New Roman" w:cstheme="minorHAnsi"/>
        </w:rPr>
        <w:t xml:space="preserve"> </w:t>
      </w:r>
    </w:p>
    <w:p w14:paraId="1819199E" w14:textId="77777777" w:rsidR="00913674" w:rsidRPr="002E0DFF" w:rsidRDefault="00913674" w:rsidP="00913674">
      <w:pPr>
        <w:spacing w:after="0" w:line="240" w:lineRule="auto"/>
        <w:rPr>
          <w:rFonts w:eastAsia="Times New Roman" w:cstheme="minorHAnsi"/>
        </w:rPr>
      </w:pPr>
    </w:p>
    <w:p w14:paraId="15F87C52" w14:textId="77777777" w:rsidR="00913674" w:rsidRPr="002E0DFF" w:rsidRDefault="00913674" w:rsidP="00913674">
      <w:pPr>
        <w:spacing w:after="0" w:line="240" w:lineRule="auto"/>
        <w:rPr>
          <w:rFonts w:eastAsia="Times New Roman" w:cstheme="minorHAnsi"/>
          <w:b/>
        </w:rPr>
      </w:pPr>
      <w:r w:rsidRPr="002E0DFF">
        <w:rPr>
          <w:rFonts w:eastAsia="Times New Roman" w:cstheme="minorHAnsi"/>
          <w:b/>
        </w:rPr>
        <w:t xml:space="preserve">Topic 4: Developments and Influences of Italian Renaissance. </w:t>
      </w:r>
    </w:p>
    <w:p w14:paraId="78C618EC"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t xml:space="preserve">Analyze the historical, political, religious and cultural context for the Italian Renaissance (1400-1600 C.E.).   Discuss the developments in art and architecture made in the Renaissance period, explain economic changes in Europe that may have made the Renaissance possible and address the role of patronage in art creation.  Be sure to discuss specific artists and artworks to support your arguments. </w:t>
      </w:r>
    </w:p>
    <w:p w14:paraId="62B70C58" w14:textId="77777777" w:rsidR="00913674" w:rsidRPr="002E0DFF" w:rsidRDefault="00913674" w:rsidP="00913674">
      <w:pPr>
        <w:pStyle w:val="ListParagraph"/>
        <w:numPr>
          <w:ilvl w:val="0"/>
          <w:numId w:val="7"/>
        </w:numPr>
        <w:spacing w:after="0" w:line="240" w:lineRule="auto"/>
        <w:rPr>
          <w:rFonts w:eastAsia="Times New Roman" w:cstheme="minorHAnsi"/>
        </w:rPr>
      </w:pPr>
      <w:r w:rsidRPr="002E0DFF">
        <w:rPr>
          <w:rFonts w:eastAsia="Times New Roman" w:cstheme="minorHAnsi"/>
        </w:rPr>
        <w:t xml:space="preserve">Recommended resources to get you started: </w:t>
      </w:r>
    </w:p>
    <w:p w14:paraId="23617A7D"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Routt, D. (n.d.) The Economic Impact of the Black Death.  Economic History Association.  Retrieved from </w:t>
      </w:r>
      <w:hyperlink r:id="rId16" w:history="1">
        <w:r w:rsidRPr="002E0DFF">
          <w:rPr>
            <w:rStyle w:val="Hyperlink"/>
            <w:rFonts w:eastAsia="Times New Roman" w:cstheme="minorHAnsi"/>
          </w:rPr>
          <w:t>https://eh.net/encyclopedia/the-economic-impact-of-the-black-death/</w:t>
        </w:r>
      </w:hyperlink>
      <w:r w:rsidRPr="002E0DFF">
        <w:rPr>
          <w:rFonts w:eastAsia="Times New Roman" w:cstheme="minorHAnsi"/>
        </w:rPr>
        <w:t xml:space="preserve"> </w:t>
      </w:r>
    </w:p>
    <w:p w14:paraId="6DA4E42D"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Artists and Patrons (2018). Italian Renaissance Learning Resources. Oxford University Press.   Retrieved from </w:t>
      </w:r>
      <w:hyperlink r:id="rId17" w:history="1">
        <w:r w:rsidRPr="002E0DFF">
          <w:rPr>
            <w:rStyle w:val="Hyperlink"/>
            <w:rFonts w:eastAsia="Times New Roman" w:cstheme="minorHAnsi"/>
          </w:rPr>
          <w:t>http://www.italianrenaissanceresources.com/units/unit-8/essays/introduction/</w:t>
        </w:r>
      </w:hyperlink>
      <w:r w:rsidRPr="002E0DFF">
        <w:rPr>
          <w:rFonts w:eastAsia="Times New Roman" w:cstheme="minorHAnsi"/>
        </w:rPr>
        <w:t xml:space="preserve"> (See all 12 pages)</w:t>
      </w:r>
    </w:p>
    <w:p w14:paraId="69D27939"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Norris, M. (2007). The Papacy During the Renaissance. Heilbrunn Timeline of Art History, Metropolitan Museum of Art. Retrieved from </w:t>
      </w:r>
      <w:hyperlink r:id="rId18" w:history="1">
        <w:r w:rsidRPr="002E0DFF">
          <w:rPr>
            <w:rStyle w:val="Hyperlink"/>
            <w:rFonts w:eastAsia="Times New Roman" w:cstheme="minorHAnsi"/>
          </w:rPr>
          <w:t>https://www.metmuseum.org/toah/hd/pape/hd_pape.htm</w:t>
        </w:r>
      </w:hyperlink>
      <w:r w:rsidRPr="002E0DFF">
        <w:rPr>
          <w:rFonts w:eastAsia="Times New Roman" w:cstheme="minorHAnsi"/>
        </w:rPr>
        <w:t xml:space="preserve"> </w:t>
      </w:r>
    </w:p>
    <w:p w14:paraId="4A8168AE"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Bamback, C. (2002).  Anatomy in the Renaissance. Heilbrunn Timeline of Art History, Metropolitan Museum of Art. Retrieved from </w:t>
      </w:r>
      <w:hyperlink r:id="rId19" w:history="1">
        <w:r w:rsidRPr="002E0DFF">
          <w:rPr>
            <w:rStyle w:val="Hyperlink"/>
            <w:rFonts w:eastAsia="Times New Roman" w:cstheme="minorHAnsi"/>
          </w:rPr>
          <w:t>https://www.metmuseum.org/toah/hd/anat/hd_anat.htm</w:t>
        </w:r>
      </w:hyperlink>
      <w:r w:rsidRPr="002E0DFF">
        <w:rPr>
          <w:rFonts w:eastAsia="Times New Roman" w:cstheme="minorHAnsi"/>
        </w:rPr>
        <w:t xml:space="preserve"> </w:t>
      </w:r>
    </w:p>
    <w:p w14:paraId="6199C768" w14:textId="77777777" w:rsidR="00913674" w:rsidRPr="002E0DFF" w:rsidRDefault="00913674" w:rsidP="00913674">
      <w:pPr>
        <w:spacing w:after="0" w:line="240" w:lineRule="auto"/>
        <w:rPr>
          <w:rFonts w:eastAsia="Times New Roman" w:cstheme="minorHAnsi"/>
        </w:rPr>
      </w:pPr>
    </w:p>
    <w:p w14:paraId="6383C5B5" w14:textId="77777777" w:rsidR="00913674" w:rsidRPr="002E0DFF" w:rsidRDefault="00913674" w:rsidP="00913674">
      <w:pPr>
        <w:spacing w:after="0" w:line="240" w:lineRule="auto"/>
        <w:rPr>
          <w:rFonts w:eastAsia="Times New Roman" w:cstheme="minorHAnsi"/>
          <w:b/>
        </w:rPr>
      </w:pPr>
      <w:r w:rsidRPr="002E0DFF">
        <w:rPr>
          <w:rFonts w:eastAsia="Times New Roman" w:cstheme="minorHAnsi"/>
          <w:b/>
        </w:rPr>
        <w:t>Topic 5:  Photography’s Influence on Art</w:t>
      </w:r>
    </w:p>
    <w:p w14:paraId="5144A44B"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t xml:space="preserve">Discuss the influence of photography on the art of the late 19th and 20th centuries, citing specific uses of photography. Discuss the shifting and sharing of the functions and purposes of art by painting, drawing, and photography. Include the impact of photography on painting. </w:t>
      </w:r>
    </w:p>
    <w:p w14:paraId="515FAE88" w14:textId="77777777" w:rsidR="00913674" w:rsidRPr="002E0DFF" w:rsidRDefault="00913674" w:rsidP="00913674">
      <w:pPr>
        <w:pStyle w:val="ListParagraph"/>
        <w:numPr>
          <w:ilvl w:val="0"/>
          <w:numId w:val="7"/>
        </w:numPr>
        <w:spacing w:after="0" w:line="240" w:lineRule="auto"/>
        <w:rPr>
          <w:rFonts w:eastAsia="Times New Roman" w:cstheme="minorHAnsi"/>
        </w:rPr>
      </w:pPr>
      <w:r w:rsidRPr="002E0DFF">
        <w:rPr>
          <w:rFonts w:eastAsia="Times New Roman" w:cstheme="minorHAnsi"/>
        </w:rPr>
        <w:t xml:space="preserve">Recommended resources: </w:t>
      </w:r>
    </w:p>
    <w:p w14:paraId="5EB776B7"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Early Documentary Photography (2004). Heilbrunn Timeline of Art History, Metropolitan Museum of Art. Retrieved from </w:t>
      </w:r>
      <w:hyperlink r:id="rId20" w:history="1">
        <w:r w:rsidRPr="002E0DFF">
          <w:rPr>
            <w:rStyle w:val="Hyperlink"/>
            <w:rFonts w:eastAsia="Times New Roman" w:cstheme="minorHAnsi"/>
          </w:rPr>
          <w:t>https://www.metmuseum.org/toah/hd/edph/hd_edph.htm</w:t>
        </w:r>
      </w:hyperlink>
      <w:r w:rsidRPr="002E0DFF">
        <w:rPr>
          <w:rFonts w:eastAsia="Times New Roman" w:cstheme="minorHAnsi"/>
        </w:rPr>
        <w:t xml:space="preserve"> </w:t>
      </w:r>
    </w:p>
    <w:p w14:paraId="3F52261E"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Hostetler, L. (2004). The New Documentary Tradition in Photography. Heilbrunn Timeline of Art History, Metropolitan Museum of Art. Retrieved from https://www.metmuseum.org/toah/hd/ndoc/hd_ndoc.htm</w:t>
      </w:r>
    </w:p>
    <w:p w14:paraId="4D8D2C5B"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Photography and the Civil War (2004). Heilbrunn Timeline of Art History, Metropolitan Museum of Art. Retrieved from </w:t>
      </w:r>
      <w:hyperlink r:id="rId21" w:history="1">
        <w:r w:rsidRPr="002E0DFF">
          <w:rPr>
            <w:rStyle w:val="Hyperlink"/>
            <w:rFonts w:eastAsia="Times New Roman" w:cstheme="minorHAnsi"/>
          </w:rPr>
          <w:t>https://www.metmuseum.org/toah/hd/phcw/hd_phcw.htm</w:t>
        </w:r>
      </w:hyperlink>
      <w:r w:rsidRPr="002E0DFF">
        <w:rPr>
          <w:rFonts w:eastAsia="Times New Roman" w:cstheme="minorHAnsi"/>
        </w:rPr>
        <w:t xml:space="preserve"> </w:t>
      </w:r>
    </w:p>
    <w:p w14:paraId="3BEB88A2"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lastRenderedPageBreak/>
        <w:t xml:space="preserve">Eklund, D. (2004). Conceptual art and photography. Heilbrunn Timeline of Art History, Metropolitan Museum of Art. Retrieved from </w:t>
      </w:r>
      <w:hyperlink r:id="rId22" w:history="1">
        <w:r w:rsidRPr="002E0DFF">
          <w:rPr>
            <w:rStyle w:val="Hyperlink"/>
            <w:rFonts w:eastAsia="Times New Roman" w:cstheme="minorHAnsi"/>
          </w:rPr>
          <w:t>https://www.metmuseum.org/toah/hd/cncp/hd_cncp.htm</w:t>
        </w:r>
      </w:hyperlink>
      <w:r w:rsidRPr="002E0DFF">
        <w:rPr>
          <w:rFonts w:eastAsia="Times New Roman" w:cstheme="minorHAnsi"/>
        </w:rPr>
        <w:t xml:space="preserve"> </w:t>
      </w:r>
    </w:p>
    <w:p w14:paraId="55E58611" w14:textId="77777777" w:rsidR="00913674" w:rsidRPr="002E0DFF" w:rsidRDefault="00913674" w:rsidP="00913674">
      <w:pPr>
        <w:pStyle w:val="ListParagraph"/>
        <w:numPr>
          <w:ilvl w:val="1"/>
          <w:numId w:val="7"/>
        </w:numPr>
        <w:spacing w:after="0" w:line="240" w:lineRule="auto"/>
        <w:rPr>
          <w:rFonts w:eastAsia="Times New Roman" w:cstheme="minorHAnsi"/>
        </w:rPr>
      </w:pPr>
      <w:r w:rsidRPr="002E0DFF">
        <w:rPr>
          <w:rFonts w:eastAsia="Times New Roman" w:cstheme="minorHAnsi"/>
        </w:rPr>
        <w:t xml:space="preserve">Rooseboom, H., &amp; Rudge, J. (2006). Myths and Misconceptions: Photography and Painting in the Nineteenth Century. </w:t>
      </w:r>
      <w:r w:rsidRPr="002E0DFF">
        <w:rPr>
          <w:rFonts w:eastAsia="Times New Roman" w:cstheme="minorHAnsi"/>
          <w:i/>
          <w:iCs/>
        </w:rPr>
        <w:t>Simiolus: Netherlands Quarterly for the History of Art,</w:t>
      </w:r>
      <w:r w:rsidRPr="002E0DFF">
        <w:rPr>
          <w:rFonts w:eastAsia="Times New Roman" w:cstheme="minorHAnsi"/>
        </w:rPr>
        <w:t xml:space="preserve"> </w:t>
      </w:r>
      <w:r w:rsidRPr="002E0DFF">
        <w:rPr>
          <w:rFonts w:eastAsia="Times New Roman" w:cstheme="minorHAnsi"/>
          <w:i/>
          <w:iCs/>
        </w:rPr>
        <w:t>32</w:t>
      </w:r>
      <w:r w:rsidRPr="002E0DFF">
        <w:rPr>
          <w:rFonts w:eastAsia="Times New Roman" w:cstheme="minorHAnsi"/>
        </w:rPr>
        <w:t xml:space="preserve">(4), 291-313. Retrieved from </w:t>
      </w:r>
      <w:hyperlink r:id="rId23" w:history="1">
        <w:r w:rsidRPr="002E0DFF">
          <w:rPr>
            <w:rStyle w:val="Hyperlink"/>
            <w:rFonts w:eastAsia="Times New Roman" w:cstheme="minorHAnsi"/>
          </w:rPr>
          <w:t>http://www.jstor.org.nuls.idm.oclc.org/stable/20355339</w:t>
        </w:r>
      </w:hyperlink>
      <w:r w:rsidRPr="002E0DFF">
        <w:rPr>
          <w:rFonts w:eastAsia="Times New Roman" w:cstheme="minorHAnsi"/>
        </w:rPr>
        <w:t xml:space="preserve"> </w:t>
      </w:r>
    </w:p>
    <w:p w14:paraId="6155247F" w14:textId="77777777" w:rsidR="00913674" w:rsidRPr="002E0DFF" w:rsidRDefault="00913674" w:rsidP="00913674">
      <w:pPr>
        <w:spacing w:after="0" w:line="240" w:lineRule="auto"/>
        <w:rPr>
          <w:rFonts w:eastAsia="Times New Roman" w:cstheme="minorHAnsi"/>
        </w:rPr>
      </w:pPr>
      <w:r w:rsidRPr="002E0DFF">
        <w:rPr>
          <w:rFonts w:eastAsia="Times New Roman" w:cstheme="minorHAnsi"/>
        </w:rPr>
        <w:object w:dxaOrig="1534" w:dyaOrig="991" w14:anchorId="76C49E28">
          <v:shape id="_x0000_i1026" type="#_x0000_t75" style="width:77.25pt;height:49.5pt" o:ole="">
            <v:imagedata r:id="rId24" o:title=""/>
          </v:shape>
          <o:OLEObject Type="Embed" ProgID="AcroExch.Document.11" ShapeID="_x0000_i1026" DrawAspect="Icon" ObjectID="_1627031039" r:id="rId25"/>
        </w:object>
      </w:r>
    </w:p>
    <w:p w14:paraId="4B458A1C" w14:textId="50E6255C" w:rsidR="006301BA" w:rsidRPr="002E0DFF" w:rsidRDefault="006301BA" w:rsidP="00913674">
      <w:pPr>
        <w:spacing w:after="0" w:line="240" w:lineRule="auto"/>
        <w:rPr>
          <w:rFonts w:eastAsia="Times New Roman" w:cstheme="minorHAnsi"/>
        </w:rPr>
      </w:pPr>
    </w:p>
    <w:sectPr w:rsidR="006301BA" w:rsidRPr="002E0D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650"/>
    <w:multiLevelType w:val="multilevel"/>
    <w:tmpl w:val="07FA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D073E"/>
    <w:multiLevelType w:val="multilevel"/>
    <w:tmpl w:val="EF5AD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E3EE2"/>
    <w:multiLevelType w:val="hybridMultilevel"/>
    <w:tmpl w:val="AFA00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46A28"/>
    <w:multiLevelType w:val="multilevel"/>
    <w:tmpl w:val="0409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4" w15:restartNumberingAfterBreak="0">
    <w:nsid w:val="1E63782D"/>
    <w:multiLevelType w:val="multilevel"/>
    <w:tmpl w:val="4BD0F044"/>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43E3114E"/>
    <w:multiLevelType w:val="multilevel"/>
    <w:tmpl w:val="4202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707BC8"/>
    <w:multiLevelType w:val="multilevel"/>
    <w:tmpl w:val="08BE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20748A"/>
    <w:multiLevelType w:val="multilevel"/>
    <w:tmpl w:val="4BD0F04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3"/>
  </w:num>
  <w:num w:numId="4">
    <w:abstractNumId w:val="1"/>
  </w:num>
  <w:num w:numId="5">
    <w:abstractNumId w:val="4"/>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B0"/>
    <w:rsid w:val="000266BD"/>
    <w:rsid w:val="002E0DFF"/>
    <w:rsid w:val="006301BA"/>
    <w:rsid w:val="008D3422"/>
    <w:rsid w:val="00913674"/>
    <w:rsid w:val="00916F76"/>
    <w:rsid w:val="00991FB7"/>
    <w:rsid w:val="00A514B0"/>
    <w:rsid w:val="00DE1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84D9F"/>
  <w15:docId w15:val="{21C7231B-6D46-4F63-B5F5-CD2AA576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6F7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36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3674"/>
    <w:rPr>
      <w:color w:val="0563C1" w:themeColor="hyperlink"/>
      <w:u w:val="single"/>
    </w:rPr>
  </w:style>
  <w:style w:type="character" w:customStyle="1" w:styleId="UnresolvedMention1">
    <w:name w:val="Unresolved Mention1"/>
    <w:basedOn w:val="DefaultParagraphFont"/>
    <w:uiPriority w:val="99"/>
    <w:semiHidden/>
    <w:unhideWhenUsed/>
    <w:rsid w:val="00913674"/>
    <w:rPr>
      <w:color w:val="605E5C"/>
      <w:shd w:val="clear" w:color="auto" w:fill="E1DFDD"/>
    </w:rPr>
  </w:style>
  <w:style w:type="paragraph" w:styleId="ListParagraph">
    <w:name w:val="List Paragraph"/>
    <w:basedOn w:val="Normal"/>
    <w:uiPriority w:val="34"/>
    <w:qFormat/>
    <w:rsid w:val="00913674"/>
    <w:pPr>
      <w:ind w:left="720"/>
      <w:contextualSpacing/>
    </w:pPr>
  </w:style>
  <w:style w:type="character" w:styleId="Strong">
    <w:name w:val="Strong"/>
    <w:basedOn w:val="DefaultParagraphFont"/>
    <w:uiPriority w:val="22"/>
    <w:qFormat/>
    <w:rsid w:val="002E0DFF"/>
    <w:rPr>
      <w:b/>
      <w:bCs/>
    </w:rPr>
  </w:style>
  <w:style w:type="character" w:customStyle="1" w:styleId="Heading1Char">
    <w:name w:val="Heading 1 Char"/>
    <w:basedOn w:val="DefaultParagraphFont"/>
    <w:link w:val="Heading1"/>
    <w:uiPriority w:val="9"/>
    <w:rsid w:val="00916F76"/>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57457">
      <w:bodyDiv w:val="1"/>
      <w:marLeft w:val="0"/>
      <w:marRight w:val="0"/>
      <w:marTop w:val="0"/>
      <w:marBottom w:val="0"/>
      <w:divBdr>
        <w:top w:val="none" w:sz="0" w:space="0" w:color="auto"/>
        <w:left w:val="none" w:sz="0" w:space="0" w:color="auto"/>
        <w:bottom w:val="none" w:sz="0" w:space="0" w:color="auto"/>
        <w:right w:val="none" w:sz="0" w:space="0" w:color="auto"/>
      </w:divBdr>
    </w:div>
    <w:div w:id="345134991">
      <w:bodyDiv w:val="1"/>
      <w:marLeft w:val="0"/>
      <w:marRight w:val="0"/>
      <w:marTop w:val="0"/>
      <w:marBottom w:val="0"/>
      <w:divBdr>
        <w:top w:val="none" w:sz="0" w:space="0" w:color="auto"/>
        <w:left w:val="none" w:sz="0" w:space="0" w:color="auto"/>
        <w:bottom w:val="none" w:sz="0" w:space="0" w:color="auto"/>
        <w:right w:val="none" w:sz="0" w:space="0" w:color="auto"/>
      </w:divBdr>
    </w:div>
    <w:div w:id="1649046557">
      <w:bodyDiv w:val="1"/>
      <w:marLeft w:val="0"/>
      <w:marRight w:val="0"/>
      <w:marTop w:val="0"/>
      <w:marBottom w:val="0"/>
      <w:divBdr>
        <w:top w:val="none" w:sz="0" w:space="0" w:color="auto"/>
        <w:left w:val="none" w:sz="0" w:space="0" w:color="auto"/>
        <w:bottom w:val="none" w:sz="0" w:space="0" w:color="auto"/>
        <w:right w:val="none" w:sz="0" w:space="0" w:color="auto"/>
      </w:divBdr>
    </w:div>
    <w:div w:id="1729767413">
      <w:bodyDiv w:val="1"/>
      <w:marLeft w:val="0"/>
      <w:marRight w:val="0"/>
      <w:marTop w:val="0"/>
      <w:marBottom w:val="0"/>
      <w:divBdr>
        <w:top w:val="none" w:sz="0" w:space="0" w:color="auto"/>
        <w:left w:val="none" w:sz="0" w:space="0" w:color="auto"/>
        <w:bottom w:val="none" w:sz="0" w:space="0" w:color="auto"/>
        <w:right w:val="none" w:sz="0" w:space="0" w:color="auto"/>
      </w:divBdr>
      <w:divsChild>
        <w:div w:id="874123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ericainclass.org/wp-content/uploads/2014/03/Curley-Reading.pdf" TargetMode="External"/><Relationship Id="rId13" Type="http://schemas.openxmlformats.org/officeDocument/2006/relationships/hyperlink" Target="https://www.metmuseum.org/toah/hd/aima/hd_aima.htm" TargetMode="External"/><Relationship Id="rId18" Type="http://schemas.openxmlformats.org/officeDocument/2006/relationships/hyperlink" Target="https://www.metmuseum.org/toah/hd/pape/hd_pape.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etmuseum.org/toah/hd/phcw/hd_phcw.htm" TargetMode="External"/><Relationship Id="rId7" Type="http://schemas.openxmlformats.org/officeDocument/2006/relationships/oleObject" Target="embeddings/oleObject1.bin"/><Relationship Id="rId12" Type="http://schemas.openxmlformats.org/officeDocument/2006/relationships/hyperlink" Target="https://www.louvre.fr/en/oeuvre-notices/july-28-liberty-leading-people" TargetMode="External"/><Relationship Id="rId17" Type="http://schemas.openxmlformats.org/officeDocument/2006/relationships/hyperlink" Target="http://www.italianrenaissanceresources.com/units/unit-8/essays/introduction/"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s://eh.net/encyclopedia/the-economic-impact-of-the-black-death/" TargetMode="External"/><Relationship Id="rId20" Type="http://schemas.openxmlformats.org/officeDocument/2006/relationships/hyperlink" Target="https://www.metmuseum.org/toah/hd/edph/hd_edph.htm"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louvre.fr/en/oeuvre-notices/raft-medusa" TargetMode="External"/><Relationship Id="rId24" Type="http://schemas.openxmlformats.org/officeDocument/2006/relationships/image" Target="media/image2.emf"/><Relationship Id="rId5" Type="http://schemas.openxmlformats.org/officeDocument/2006/relationships/hyperlink" Target="http://arthistoryunstuffed.com/cubism-futurism-and-the-great-war/" TargetMode="External"/><Relationship Id="rId15" Type="http://schemas.openxmlformats.org/officeDocument/2006/relationships/hyperlink" Target="https://www.metmuseum.org/toah/hd/jpon/hd_jpon.htm" TargetMode="External"/><Relationship Id="rId23" Type="http://schemas.openxmlformats.org/officeDocument/2006/relationships/hyperlink" Target="http://www.jstor.org.nuls.idm.oclc.org/stable/20355339" TargetMode="External"/><Relationship Id="rId10" Type="http://schemas.openxmlformats.org/officeDocument/2006/relationships/hyperlink" Target="https://www.metmuseum.org/toah/hd/abex/hd_abex.htm" TargetMode="External"/><Relationship Id="rId19" Type="http://schemas.openxmlformats.org/officeDocument/2006/relationships/hyperlink" Target="https://www.metmuseum.org/toah/hd/anat/hd_anat.htm" TargetMode="External"/><Relationship Id="rId4" Type="http://schemas.openxmlformats.org/officeDocument/2006/relationships/webSettings" Target="webSettings.xml"/><Relationship Id="rId9" Type="http://schemas.openxmlformats.org/officeDocument/2006/relationships/hyperlink" Target="http://arthistoryunstuffed.com/surrealism-in-context/" TargetMode="External"/><Relationship Id="rId14" Type="http://schemas.openxmlformats.org/officeDocument/2006/relationships/hyperlink" Target="https://www.metmuseum.org/toah/hd/laut/hd_laut.htm" TargetMode="External"/><Relationship Id="rId22" Type="http://schemas.openxmlformats.org/officeDocument/2006/relationships/hyperlink" Target="https://www.metmuseum.org/toah/hd/cncp/hd_cncp.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1072</Words>
  <Characters>6113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Morris</dc:creator>
  <cp:lastModifiedBy>admin</cp:lastModifiedBy>
  <cp:revision>2</cp:revision>
  <dcterms:created xsi:type="dcterms:W3CDTF">2019-08-11T09:17:00Z</dcterms:created>
  <dcterms:modified xsi:type="dcterms:W3CDTF">2019-08-11T09:17:00Z</dcterms:modified>
</cp:coreProperties>
</file>