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8C543" w14:textId="77777777" w:rsidR="00F02D1D" w:rsidRPr="003574C0" w:rsidRDefault="00F02D1D" w:rsidP="00F02D1D">
      <w:pPr>
        <w:spacing w:before="100" w:beforeAutospacing="1" w:after="100" w:afterAutospacing="1" w:line="240" w:lineRule="auto"/>
        <w:outlineLvl w:val="2"/>
        <w:rPr>
          <w:rFonts w:ascii="Source Sans Pro" w:eastAsia="Times New Roman" w:hAnsi="Source Sans Pro" w:cs="Times New Roman"/>
          <w:b/>
          <w:bCs/>
          <w:color w:val="000000"/>
          <w:sz w:val="27"/>
          <w:szCs w:val="27"/>
          <w:lang w:eastAsia="en-AU"/>
        </w:rPr>
      </w:pPr>
      <w:r w:rsidRPr="003574C0">
        <w:rPr>
          <w:rFonts w:ascii="Source Sans Pro" w:eastAsia="Times New Roman" w:hAnsi="Source Sans Pro" w:cs="Times New Roman"/>
          <w:b/>
          <w:bCs/>
          <w:color w:val="000000"/>
          <w:sz w:val="27"/>
          <w:szCs w:val="27"/>
          <w:lang w:eastAsia="en-AU"/>
        </w:rPr>
        <w:t>Assessment item 1</w:t>
      </w:r>
    </w:p>
    <w:p w14:paraId="4C0488CF" w14:textId="77777777" w:rsidR="00F02D1D" w:rsidRDefault="00F02D1D" w:rsidP="00F02D1D">
      <w:pPr>
        <w:rPr>
          <w:rFonts w:ascii="Source Sans Pro" w:hAnsi="Source Sans Pro"/>
          <w:color w:val="000000"/>
          <w:sz w:val="27"/>
          <w:szCs w:val="27"/>
        </w:rPr>
      </w:pPr>
      <w:r>
        <w:rPr>
          <w:rStyle w:val="Strong"/>
          <w:rFonts w:ascii="Source Sans Pro" w:hAnsi="Source Sans Pro"/>
          <w:color w:val="000000"/>
          <w:sz w:val="27"/>
          <w:szCs w:val="27"/>
        </w:rPr>
        <w:t>Length:</w:t>
      </w:r>
      <w:r>
        <w:rPr>
          <w:rFonts w:ascii="Source Sans Pro" w:hAnsi="Source Sans Pro"/>
          <w:color w:val="000000"/>
          <w:sz w:val="27"/>
          <w:szCs w:val="27"/>
        </w:rPr>
        <w:t> 2000 words</w:t>
      </w:r>
    </w:p>
    <w:p w14:paraId="6501557F" w14:textId="77777777" w:rsidR="00F02D1D" w:rsidRPr="00F02D1D" w:rsidRDefault="00F02D1D" w:rsidP="00F02D1D">
      <w:pPr>
        <w:pStyle w:val="Heading4"/>
        <w:spacing w:before="150" w:after="150"/>
        <w:rPr>
          <w:rFonts w:ascii="Source Sans Pro" w:hAnsi="Source Sans Pro"/>
          <w:b/>
          <w:i w:val="0"/>
          <w:color w:val="000000"/>
          <w:sz w:val="28"/>
          <w:szCs w:val="28"/>
        </w:rPr>
      </w:pPr>
      <w:r w:rsidRPr="00F02D1D">
        <w:rPr>
          <w:rFonts w:ascii="Source Sans Pro" w:hAnsi="Source Sans Pro"/>
          <w:b/>
          <w:i w:val="0"/>
          <w:color w:val="000000"/>
          <w:sz w:val="28"/>
          <w:szCs w:val="28"/>
        </w:rPr>
        <w:t xml:space="preserve">Task: </w:t>
      </w:r>
    </w:p>
    <w:p w14:paraId="7F39E357" w14:textId="77777777" w:rsidR="00F02D1D" w:rsidRDefault="00F02D1D" w:rsidP="00F02D1D">
      <w:pPr>
        <w:pStyle w:val="NormalWeb"/>
        <w:rPr>
          <w:rFonts w:ascii="Source Sans Pro" w:hAnsi="Source Sans Pro"/>
          <w:color w:val="000000"/>
          <w:sz w:val="27"/>
          <w:szCs w:val="27"/>
        </w:rPr>
      </w:pPr>
      <w:r w:rsidRPr="00F02D1D">
        <w:rPr>
          <w:rStyle w:val="Strong"/>
          <w:rFonts w:ascii="Source Sans Pro" w:hAnsi="Source Sans Pro"/>
          <w:color w:val="000000"/>
          <w:u w:val="single"/>
        </w:rPr>
        <w:t>Part 1:</w:t>
      </w:r>
      <w:r>
        <w:rPr>
          <w:rStyle w:val="Strong"/>
          <w:rFonts w:ascii="Source Sans Pro" w:hAnsi="Source Sans Pro"/>
          <w:color w:val="000000"/>
        </w:rPr>
        <w:t> </w:t>
      </w:r>
      <w:r>
        <w:rPr>
          <w:rStyle w:val="Emphasis"/>
          <w:rFonts w:ascii="Source Sans Pro" w:hAnsi="Source Sans Pro"/>
          <w:color w:val="000000"/>
        </w:rPr>
        <w:t>(</w:t>
      </w:r>
      <w:proofErr w:type="spellStart"/>
      <w:r>
        <w:rPr>
          <w:rStyle w:val="Emphasis"/>
          <w:rFonts w:ascii="Source Sans Pro" w:hAnsi="Source Sans Pro"/>
          <w:color w:val="000000"/>
        </w:rPr>
        <w:t>approx</w:t>
      </w:r>
      <w:proofErr w:type="spellEnd"/>
      <w:r>
        <w:rPr>
          <w:rStyle w:val="Emphasis"/>
          <w:rFonts w:ascii="Source Sans Pro" w:hAnsi="Source Sans Pro"/>
          <w:color w:val="000000"/>
        </w:rPr>
        <w:t xml:space="preserve"> 800 words)</w:t>
      </w:r>
    </w:p>
    <w:p w14:paraId="6AD38A9F" w14:textId="77777777" w:rsidR="00F02D1D" w:rsidRPr="00A46384" w:rsidRDefault="00F02D1D" w:rsidP="00F02D1D">
      <w:pPr>
        <w:pStyle w:val="NormalWeb"/>
        <w:rPr>
          <w:rFonts w:ascii="Source Sans Pro" w:hAnsi="Source Sans Pro"/>
          <w:color w:val="000000"/>
          <w:sz w:val="28"/>
          <w:szCs w:val="28"/>
        </w:rPr>
      </w:pPr>
      <w:r w:rsidRPr="00A46384">
        <w:rPr>
          <w:rFonts w:ascii="Source Sans Pro" w:hAnsi="Source Sans Pro"/>
          <w:color w:val="000000"/>
          <w:sz w:val="28"/>
          <w:szCs w:val="28"/>
        </w:rPr>
        <w:t>Discuss the concepts of health and illness as related to ageing.  </w:t>
      </w:r>
    </w:p>
    <w:p w14:paraId="5079E614" w14:textId="77777777" w:rsidR="00F02D1D" w:rsidRPr="00A46384" w:rsidRDefault="00F02D1D" w:rsidP="00F02D1D">
      <w:pPr>
        <w:pStyle w:val="NormalWeb"/>
        <w:rPr>
          <w:rFonts w:ascii="Source Sans Pro" w:hAnsi="Source Sans Pro"/>
          <w:color w:val="000000"/>
          <w:sz w:val="28"/>
          <w:szCs w:val="28"/>
        </w:rPr>
      </w:pPr>
      <w:bookmarkStart w:id="0" w:name="_GoBack"/>
      <w:r w:rsidRPr="00A46384">
        <w:rPr>
          <w:rFonts w:ascii="Source Sans Pro" w:hAnsi="Source Sans Pro"/>
          <w:color w:val="000000"/>
          <w:sz w:val="28"/>
          <w:szCs w:val="28"/>
        </w:rPr>
        <w:t>This discussion should consider the concepts of health and illness from the perspective of the social model of health</w:t>
      </w:r>
      <w:r w:rsidR="00A46384" w:rsidRPr="00A46384">
        <w:rPr>
          <w:rFonts w:ascii="Source Sans Pro" w:hAnsi="Source Sans Pro"/>
          <w:color w:val="000000"/>
          <w:sz w:val="28"/>
          <w:szCs w:val="28"/>
        </w:rPr>
        <w:t xml:space="preserve"> </w:t>
      </w:r>
      <w:r w:rsidR="00A46384" w:rsidRPr="00A46384">
        <w:rPr>
          <w:rFonts w:ascii="Source Sans Pro" w:hAnsi="Source Sans Pro"/>
          <w:sz w:val="28"/>
          <w:szCs w:val="28"/>
        </w:rPr>
        <w:t>or the Biopsychosocial Model of Health</w:t>
      </w:r>
      <w:r w:rsidRPr="00A46384">
        <w:rPr>
          <w:rFonts w:ascii="Source Sans Pro" w:hAnsi="Source Sans Pro"/>
          <w:color w:val="000000"/>
          <w:sz w:val="28"/>
          <w:szCs w:val="28"/>
        </w:rPr>
        <w:t>.  The discussion should consider the factors that might be important in defining an older adult as well or ill and distinguish between age-related mind and body changes in healthy ageing from those associated with illness.  It is not necessary to provide detailed examples of health or illness, though a couple of brief examples may be used to illustrate your points.  </w:t>
      </w:r>
    </w:p>
    <w:bookmarkEnd w:id="0"/>
    <w:p w14:paraId="6F7C71E4" w14:textId="77777777" w:rsidR="00F02D1D" w:rsidRPr="00F02D1D" w:rsidRDefault="00F02D1D" w:rsidP="00F02D1D">
      <w:pPr>
        <w:spacing w:before="100" w:beforeAutospacing="1" w:after="100" w:afterAutospacing="1" w:line="240" w:lineRule="auto"/>
        <w:rPr>
          <w:rFonts w:ascii="Source Sans Pro" w:eastAsia="Times New Roman" w:hAnsi="Source Sans Pro" w:cs="Times New Roman"/>
          <w:color w:val="000000"/>
          <w:sz w:val="27"/>
          <w:szCs w:val="27"/>
          <w:lang w:eastAsia="en-AU"/>
        </w:rPr>
      </w:pPr>
      <w:r w:rsidRPr="00F02D1D">
        <w:rPr>
          <w:rFonts w:ascii="Source Sans Pro" w:eastAsia="Times New Roman" w:hAnsi="Source Sans Pro" w:cs="Times New Roman"/>
          <w:b/>
          <w:bCs/>
          <w:color w:val="000000"/>
          <w:sz w:val="24"/>
          <w:szCs w:val="24"/>
          <w:u w:val="single"/>
          <w:lang w:eastAsia="en-AU"/>
        </w:rPr>
        <w:t>Part 2:</w:t>
      </w:r>
      <w:r w:rsidRPr="00F02D1D">
        <w:rPr>
          <w:rFonts w:ascii="Source Sans Pro" w:eastAsia="Times New Roman" w:hAnsi="Source Sans Pro" w:cs="Times New Roman"/>
          <w:color w:val="000000"/>
          <w:sz w:val="27"/>
          <w:szCs w:val="27"/>
          <w:lang w:eastAsia="en-AU"/>
        </w:rPr>
        <w:t> </w:t>
      </w:r>
      <w:r w:rsidRPr="00F02D1D">
        <w:rPr>
          <w:rFonts w:ascii="Source Sans Pro" w:eastAsia="Times New Roman" w:hAnsi="Source Sans Pro" w:cs="Times New Roman"/>
          <w:i/>
          <w:iCs/>
          <w:color w:val="000000"/>
          <w:sz w:val="24"/>
          <w:szCs w:val="24"/>
          <w:lang w:eastAsia="en-AU"/>
        </w:rPr>
        <w:t>(</w:t>
      </w:r>
      <w:proofErr w:type="spellStart"/>
      <w:r w:rsidRPr="00F02D1D">
        <w:rPr>
          <w:rFonts w:ascii="Source Sans Pro" w:eastAsia="Times New Roman" w:hAnsi="Source Sans Pro" w:cs="Times New Roman"/>
          <w:i/>
          <w:iCs/>
          <w:color w:val="000000"/>
          <w:sz w:val="24"/>
          <w:szCs w:val="24"/>
          <w:lang w:eastAsia="en-AU"/>
        </w:rPr>
        <w:t>approx</w:t>
      </w:r>
      <w:proofErr w:type="spellEnd"/>
      <w:r w:rsidRPr="00F02D1D">
        <w:rPr>
          <w:rFonts w:ascii="Source Sans Pro" w:eastAsia="Times New Roman" w:hAnsi="Source Sans Pro" w:cs="Times New Roman"/>
          <w:i/>
          <w:iCs/>
          <w:color w:val="000000"/>
          <w:sz w:val="24"/>
          <w:szCs w:val="24"/>
          <w:lang w:eastAsia="en-AU"/>
        </w:rPr>
        <w:t xml:space="preserve"> 1200 words).</w:t>
      </w:r>
    </w:p>
    <w:p w14:paraId="142A35DC" w14:textId="77777777" w:rsidR="00F02D1D" w:rsidRPr="00F02D1D" w:rsidRDefault="00F02D1D" w:rsidP="00F02D1D">
      <w:pPr>
        <w:spacing w:before="100" w:beforeAutospacing="1" w:after="100" w:afterAutospacing="1" w:line="240" w:lineRule="auto"/>
        <w:rPr>
          <w:rFonts w:ascii="Source Sans Pro" w:eastAsia="Times New Roman" w:hAnsi="Source Sans Pro" w:cs="Times New Roman"/>
          <w:color w:val="000000"/>
          <w:sz w:val="27"/>
          <w:szCs w:val="27"/>
          <w:lang w:eastAsia="en-AU"/>
        </w:rPr>
      </w:pPr>
      <w:r w:rsidRPr="00F02D1D">
        <w:rPr>
          <w:rFonts w:ascii="Source Sans Pro" w:eastAsia="Times New Roman" w:hAnsi="Source Sans Pro" w:cs="Times New Roman"/>
          <w:color w:val="000000"/>
          <w:sz w:val="27"/>
          <w:szCs w:val="27"/>
          <w:lang w:eastAsia="en-AU"/>
        </w:rPr>
        <w:t>Choose an example of an age-related related change or illness and research it.  Look for information on how older people and their families may experience this condition and the particular challenges which the condition presents physically, psychologically and socially (this is referred to as the biopsychosocial perspective).</w:t>
      </w:r>
    </w:p>
    <w:p w14:paraId="3261007B" w14:textId="77777777" w:rsidR="00F02D1D" w:rsidRPr="00F02D1D" w:rsidRDefault="00F02D1D" w:rsidP="00F02D1D">
      <w:pPr>
        <w:numPr>
          <w:ilvl w:val="0"/>
          <w:numId w:val="1"/>
        </w:numPr>
        <w:spacing w:before="100" w:beforeAutospacing="1" w:after="100" w:afterAutospacing="1" w:line="240" w:lineRule="auto"/>
        <w:rPr>
          <w:rFonts w:ascii="Source Sans Pro" w:eastAsia="Times New Roman" w:hAnsi="Source Sans Pro" w:cs="Times New Roman"/>
          <w:color w:val="000000"/>
          <w:sz w:val="24"/>
          <w:szCs w:val="24"/>
          <w:lang w:eastAsia="en-AU"/>
        </w:rPr>
      </w:pPr>
      <w:r w:rsidRPr="00F02D1D">
        <w:rPr>
          <w:rFonts w:ascii="Source Sans Pro" w:eastAsia="Times New Roman" w:hAnsi="Source Sans Pro" w:cs="Times New Roman"/>
          <w:color w:val="000000"/>
          <w:sz w:val="24"/>
          <w:szCs w:val="24"/>
          <w:lang w:eastAsia="en-AU"/>
        </w:rPr>
        <w:t>Examples of age-related changes may be: physical changes to appearance, changes to memory and cognition, changes to physical strength and flexibility, changes to sleep patterns etc.</w:t>
      </w:r>
    </w:p>
    <w:p w14:paraId="4E5C3411" w14:textId="77777777" w:rsidR="00F02D1D" w:rsidRPr="00F02D1D" w:rsidRDefault="00F02D1D" w:rsidP="00F02D1D">
      <w:pPr>
        <w:numPr>
          <w:ilvl w:val="0"/>
          <w:numId w:val="1"/>
        </w:numPr>
        <w:spacing w:before="100" w:beforeAutospacing="1" w:after="100" w:afterAutospacing="1" w:line="240" w:lineRule="auto"/>
        <w:rPr>
          <w:rFonts w:ascii="Source Sans Pro" w:eastAsia="Times New Roman" w:hAnsi="Source Sans Pro" w:cs="Times New Roman"/>
          <w:color w:val="000000"/>
          <w:sz w:val="24"/>
          <w:szCs w:val="24"/>
          <w:lang w:eastAsia="en-AU"/>
        </w:rPr>
      </w:pPr>
      <w:r w:rsidRPr="00F02D1D">
        <w:rPr>
          <w:rFonts w:ascii="Source Sans Pro" w:eastAsia="Times New Roman" w:hAnsi="Source Sans Pro" w:cs="Times New Roman"/>
          <w:color w:val="000000"/>
          <w:sz w:val="24"/>
          <w:szCs w:val="24"/>
          <w:lang w:eastAsia="en-AU"/>
        </w:rPr>
        <w:t>Examples of age related illnesses may be: dementia, later life depression, arthritis, macular degeneration etc.</w:t>
      </w:r>
    </w:p>
    <w:p w14:paraId="424651A8" w14:textId="77777777" w:rsidR="00F02D1D" w:rsidRDefault="00F02D1D" w:rsidP="00F02D1D">
      <w:pPr>
        <w:spacing w:before="100" w:beforeAutospacing="1" w:after="100" w:afterAutospacing="1" w:line="240" w:lineRule="auto"/>
        <w:rPr>
          <w:rFonts w:ascii="Source Sans Pro" w:eastAsia="Times New Roman" w:hAnsi="Source Sans Pro" w:cs="Times New Roman"/>
          <w:color w:val="000000"/>
          <w:sz w:val="27"/>
          <w:szCs w:val="27"/>
          <w:lang w:eastAsia="en-AU"/>
        </w:rPr>
      </w:pPr>
      <w:r w:rsidRPr="00F02D1D">
        <w:rPr>
          <w:rFonts w:ascii="Source Sans Pro" w:eastAsia="Times New Roman" w:hAnsi="Source Sans Pro" w:cs="Times New Roman"/>
          <w:color w:val="000000"/>
          <w:sz w:val="27"/>
          <w:szCs w:val="27"/>
          <w:lang w:eastAsia="en-AU"/>
        </w:rPr>
        <w:t>Discuss your chosen topic, exploring it from a biopsychosocial perspective.  Your discussion of the topic should demonstrate your understanding of the causes, symptoms, effects on functioning, challenges to lifestyle, social implications and opportunities for managing/ improving/ reducing negative effects of the topic.</w:t>
      </w:r>
      <w:r w:rsidR="008B2D00">
        <w:rPr>
          <w:rFonts w:ascii="Source Sans Pro" w:eastAsia="Times New Roman" w:hAnsi="Source Sans Pro" w:cs="Times New Roman"/>
          <w:color w:val="000000"/>
          <w:sz w:val="27"/>
          <w:szCs w:val="27"/>
          <w:lang w:eastAsia="en-AU"/>
        </w:rPr>
        <w:t xml:space="preserve">  (APA Referencing and 10 sources).</w:t>
      </w:r>
    </w:p>
    <w:p w14:paraId="1EB77FF0" w14:textId="77777777" w:rsidR="00F02D1D" w:rsidRPr="00F02D1D" w:rsidRDefault="00F02D1D" w:rsidP="00F02D1D">
      <w:pPr>
        <w:pStyle w:val="Heading4"/>
        <w:spacing w:before="150" w:after="150"/>
        <w:rPr>
          <w:rFonts w:ascii="Source Sans Pro" w:hAnsi="Source Sans Pro"/>
          <w:b/>
          <w:i w:val="0"/>
          <w:color w:val="000000"/>
          <w:sz w:val="28"/>
          <w:szCs w:val="28"/>
          <w:u w:val="single"/>
        </w:rPr>
      </w:pPr>
      <w:r w:rsidRPr="00F02D1D">
        <w:rPr>
          <w:rFonts w:ascii="Source Sans Pro" w:hAnsi="Source Sans Pro"/>
          <w:b/>
          <w:i w:val="0"/>
          <w:color w:val="000000"/>
          <w:sz w:val="28"/>
          <w:szCs w:val="28"/>
          <w:u w:val="single"/>
        </w:rPr>
        <w:t xml:space="preserve">Marking </w:t>
      </w:r>
      <w:r w:rsidR="00916CAB">
        <w:rPr>
          <w:rFonts w:ascii="Source Sans Pro" w:hAnsi="Source Sans Pro"/>
          <w:b/>
          <w:i w:val="0"/>
          <w:color w:val="000000"/>
          <w:sz w:val="28"/>
          <w:szCs w:val="28"/>
          <w:u w:val="single"/>
        </w:rPr>
        <w:t>Guide / C</w:t>
      </w:r>
      <w:r w:rsidRPr="00F02D1D">
        <w:rPr>
          <w:rFonts w:ascii="Source Sans Pro" w:hAnsi="Source Sans Pro"/>
          <w:b/>
          <w:i w:val="0"/>
          <w:color w:val="000000"/>
          <w:sz w:val="28"/>
          <w:szCs w:val="28"/>
          <w:u w:val="single"/>
        </w:rPr>
        <w:t xml:space="preserve">riteria and </w:t>
      </w:r>
      <w:r w:rsidR="00916CAB">
        <w:rPr>
          <w:rFonts w:ascii="Source Sans Pro" w:hAnsi="Source Sans Pro"/>
          <w:b/>
          <w:i w:val="0"/>
          <w:color w:val="000000"/>
          <w:sz w:val="28"/>
          <w:szCs w:val="28"/>
          <w:u w:val="single"/>
        </w:rPr>
        <w:t>S</w:t>
      </w:r>
      <w:r w:rsidRPr="00F02D1D">
        <w:rPr>
          <w:rFonts w:ascii="Source Sans Pro" w:hAnsi="Source Sans Pro"/>
          <w:b/>
          <w:i w:val="0"/>
          <w:color w:val="000000"/>
          <w:sz w:val="28"/>
          <w:szCs w:val="28"/>
          <w:u w:val="single"/>
        </w:rPr>
        <w:t>tandards</w:t>
      </w:r>
    </w:p>
    <w:p w14:paraId="00B3CEDE" w14:textId="77777777" w:rsidR="00F02D1D" w:rsidRPr="00D8744D" w:rsidRDefault="00F02D1D" w:rsidP="00F02D1D">
      <w:pPr>
        <w:pStyle w:val="ListParagraph"/>
        <w:numPr>
          <w:ilvl w:val="0"/>
          <w:numId w:val="2"/>
        </w:numPr>
        <w:spacing w:before="100" w:beforeAutospacing="1" w:after="100" w:afterAutospacing="1" w:line="240" w:lineRule="auto"/>
        <w:rPr>
          <w:rFonts w:eastAsia="Times New Roman" w:cstheme="minorHAnsi"/>
          <w:color w:val="000000"/>
          <w:sz w:val="28"/>
          <w:szCs w:val="28"/>
          <w:lang w:eastAsia="en-AU"/>
        </w:rPr>
      </w:pPr>
      <w:r w:rsidRPr="00D8744D">
        <w:rPr>
          <w:rFonts w:cstheme="minorHAnsi"/>
          <w:bCs/>
          <w:color w:val="000000"/>
          <w:sz w:val="28"/>
          <w:szCs w:val="28"/>
        </w:rPr>
        <w:t>Discusses the concepts of health and illness as they relate to ageing.</w:t>
      </w:r>
      <w:r w:rsidRPr="00D8744D">
        <w:rPr>
          <w:rFonts w:cstheme="minorHAnsi"/>
          <w:bCs/>
          <w:color w:val="000000"/>
          <w:sz w:val="28"/>
          <w:szCs w:val="28"/>
        </w:rPr>
        <w:br/>
        <w:t xml:space="preserve">Discusses, with examples, the differences between age related mind and </w:t>
      </w:r>
      <w:r w:rsidRPr="00D8744D">
        <w:rPr>
          <w:rFonts w:cstheme="minorHAnsi"/>
          <w:bCs/>
          <w:color w:val="000000"/>
          <w:sz w:val="28"/>
          <w:szCs w:val="28"/>
        </w:rPr>
        <w:lastRenderedPageBreak/>
        <w:t>body changes in healthy ageing and critically appraises evidence and practice context of this information.</w:t>
      </w:r>
    </w:p>
    <w:p w14:paraId="0D13C25D" w14:textId="77777777" w:rsidR="00F02D1D" w:rsidRPr="00D8744D" w:rsidRDefault="00F02D1D" w:rsidP="00F02D1D">
      <w:pPr>
        <w:pStyle w:val="ListParagraph"/>
        <w:numPr>
          <w:ilvl w:val="0"/>
          <w:numId w:val="2"/>
        </w:numPr>
        <w:spacing w:before="100" w:beforeAutospacing="1" w:after="100" w:afterAutospacing="1" w:line="240" w:lineRule="auto"/>
        <w:rPr>
          <w:rFonts w:eastAsia="Times New Roman" w:cstheme="minorHAnsi"/>
          <w:color w:val="000000"/>
          <w:sz w:val="28"/>
          <w:szCs w:val="28"/>
          <w:lang w:eastAsia="en-AU"/>
        </w:rPr>
      </w:pPr>
      <w:r w:rsidRPr="00D8744D">
        <w:rPr>
          <w:rFonts w:cstheme="minorHAnsi"/>
          <w:bCs/>
          <w:color w:val="000000"/>
          <w:sz w:val="28"/>
          <w:szCs w:val="28"/>
        </w:rPr>
        <w:t>The biomedical, psychological and social aspects of the chosen topic are evaluated. There is a critical appraisal of the causes, symptoms, and the effects on individual functioning. The challenges and implications of the change/illness are discussed in detail with reference to specific examples of how older adults and their families may be impacted by the condition.  Evidence and practice knowledge are integrated in the discussion.</w:t>
      </w:r>
    </w:p>
    <w:p w14:paraId="4A14279A" w14:textId="77777777" w:rsidR="00F02D1D" w:rsidRPr="00D8744D" w:rsidRDefault="00F02D1D" w:rsidP="00F02D1D">
      <w:pPr>
        <w:pStyle w:val="ListParagraph"/>
        <w:numPr>
          <w:ilvl w:val="0"/>
          <w:numId w:val="2"/>
        </w:numPr>
        <w:spacing w:before="100" w:beforeAutospacing="1" w:after="100" w:afterAutospacing="1" w:line="240" w:lineRule="auto"/>
        <w:rPr>
          <w:rFonts w:eastAsia="Times New Roman" w:cstheme="minorHAnsi"/>
          <w:color w:val="000000"/>
          <w:sz w:val="28"/>
          <w:szCs w:val="28"/>
          <w:lang w:eastAsia="en-AU"/>
        </w:rPr>
      </w:pPr>
      <w:r w:rsidRPr="00D8744D">
        <w:rPr>
          <w:rFonts w:cstheme="minorHAnsi"/>
          <w:bCs/>
          <w:color w:val="000000"/>
          <w:sz w:val="28"/>
          <w:szCs w:val="28"/>
        </w:rPr>
        <w:t>Arguments are evidenced and supported by a comprehensive range of peer reviewed literature on topic, mostly from individual research.</w:t>
      </w:r>
    </w:p>
    <w:p w14:paraId="02401EAC" w14:textId="77777777" w:rsidR="00F02D1D" w:rsidRPr="00D8744D" w:rsidRDefault="00F02D1D" w:rsidP="00F02D1D">
      <w:pPr>
        <w:pStyle w:val="ListParagraph"/>
        <w:numPr>
          <w:ilvl w:val="0"/>
          <w:numId w:val="2"/>
        </w:numPr>
        <w:spacing w:before="100" w:beforeAutospacing="1" w:after="100" w:afterAutospacing="1" w:line="240" w:lineRule="auto"/>
        <w:rPr>
          <w:rFonts w:eastAsia="Times New Roman" w:cstheme="minorHAnsi"/>
          <w:color w:val="000000"/>
          <w:sz w:val="28"/>
          <w:szCs w:val="28"/>
          <w:lang w:eastAsia="en-AU"/>
        </w:rPr>
      </w:pPr>
      <w:r w:rsidRPr="00D8744D">
        <w:rPr>
          <w:rFonts w:cstheme="minorHAnsi"/>
          <w:bCs/>
          <w:color w:val="000000"/>
          <w:sz w:val="28"/>
          <w:szCs w:val="28"/>
        </w:rPr>
        <w:t>Writing is coherent, concise and fluent and meaning is clear to the reader. Formatting is clear and follows suggested presentation structure. No grammatical or typographical errors. Referencing demonstrates academic integrity and conforms exactly to current version of APA style conventions applied correctly.</w:t>
      </w:r>
    </w:p>
    <w:p w14:paraId="70E54E80" w14:textId="77777777" w:rsidR="008B2D00" w:rsidRDefault="008B2D00" w:rsidP="008B2D00">
      <w:pPr>
        <w:spacing w:before="100" w:beforeAutospacing="1" w:after="100" w:afterAutospacing="1" w:line="240" w:lineRule="auto"/>
        <w:ind w:left="360"/>
        <w:rPr>
          <w:rFonts w:ascii="Source Sans Pro" w:eastAsia="Times New Roman" w:hAnsi="Source Sans Pro" w:cs="Times New Roman"/>
          <w:color w:val="000000"/>
          <w:sz w:val="27"/>
          <w:szCs w:val="27"/>
          <w:lang w:eastAsia="en-AU"/>
        </w:rPr>
      </w:pPr>
    </w:p>
    <w:p w14:paraId="2801702D" w14:textId="77777777" w:rsidR="008B2D00" w:rsidRDefault="00722C8D" w:rsidP="008B2D00">
      <w:pPr>
        <w:spacing w:before="100" w:beforeAutospacing="1" w:after="100" w:afterAutospacing="1" w:line="240" w:lineRule="auto"/>
        <w:ind w:left="360"/>
        <w:rPr>
          <w:rFonts w:ascii="Source Sans Pro" w:eastAsia="Times New Roman" w:hAnsi="Source Sans Pro" w:cs="Times New Roman"/>
          <w:b/>
          <w:color w:val="000000"/>
          <w:sz w:val="27"/>
          <w:szCs w:val="27"/>
          <w:u w:val="single"/>
          <w:lang w:eastAsia="en-AU"/>
        </w:rPr>
      </w:pPr>
      <w:r w:rsidRPr="008B2D00">
        <w:rPr>
          <w:rFonts w:ascii="Source Sans Pro" w:eastAsia="Times New Roman" w:hAnsi="Source Sans Pro" w:cs="Times New Roman"/>
          <w:b/>
          <w:color w:val="000000"/>
          <w:sz w:val="27"/>
          <w:szCs w:val="27"/>
          <w:u w:val="single"/>
          <w:lang w:eastAsia="en-AU"/>
        </w:rPr>
        <w:t>Reading</w:t>
      </w:r>
      <w:r>
        <w:rPr>
          <w:rFonts w:ascii="Source Sans Pro" w:eastAsia="Times New Roman" w:hAnsi="Source Sans Pro" w:cs="Times New Roman"/>
          <w:b/>
          <w:color w:val="000000"/>
          <w:sz w:val="27"/>
          <w:szCs w:val="27"/>
          <w:u w:val="single"/>
          <w:lang w:eastAsia="en-AU"/>
        </w:rPr>
        <w:t xml:space="preserve"> / </w:t>
      </w:r>
      <w:r w:rsidR="00844447">
        <w:rPr>
          <w:rFonts w:ascii="Source Sans Pro" w:eastAsia="Times New Roman" w:hAnsi="Source Sans Pro" w:cs="Times New Roman"/>
          <w:b/>
          <w:color w:val="000000"/>
          <w:sz w:val="27"/>
          <w:szCs w:val="27"/>
          <w:u w:val="single"/>
          <w:lang w:eastAsia="en-AU"/>
        </w:rPr>
        <w:t>links</w:t>
      </w:r>
      <w:r w:rsidR="008B2D00" w:rsidRPr="008B2D00">
        <w:rPr>
          <w:rFonts w:ascii="Source Sans Pro" w:eastAsia="Times New Roman" w:hAnsi="Source Sans Pro" w:cs="Times New Roman"/>
          <w:b/>
          <w:color w:val="000000"/>
          <w:sz w:val="27"/>
          <w:szCs w:val="27"/>
          <w:u w:val="single"/>
          <w:lang w:eastAsia="en-AU"/>
        </w:rPr>
        <w:t>:</w:t>
      </w:r>
    </w:p>
    <w:p w14:paraId="5A393980" w14:textId="77777777" w:rsidR="00F1568E" w:rsidRDefault="00F1568E" w:rsidP="008B2D00">
      <w:pPr>
        <w:spacing w:before="100" w:beforeAutospacing="1" w:after="100" w:afterAutospacing="1" w:line="240" w:lineRule="auto"/>
        <w:ind w:left="360"/>
        <w:rPr>
          <w:rFonts w:ascii="Source Sans Pro" w:eastAsia="Times New Roman" w:hAnsi="Source Sans Pro" w:cs="Times New Roman"/>
          <w:b/>
          <w:color w:val="000000"/>
          <w:sz w:val="27"/>
          <w:szCs w:val="27"/>
          <w:u w:val="single"/>
          <w:lang w:eastAsia="en-AU"/>
        </w:rPr>
      </w:pPr>
      <w:r>
        <w:rPr>
          <w:rFonts w:ascii="Helvetica" w:hAnsi="Helvetica"/>
          <w:color w:val="000000"/>
          <w:sz w:val="20"/>
          <w:szCs w:val="20"/>
          <w:bdr w:val="none" w:sz="0" w:space="0" w:color="auto" w:frame="1"/>
          <w:shd w:val="clear" w:color="auto" w:fill="FFFFFF"/>
        </w:rPr>
        <w:t>Hayflick, L. (2004). Debate: The not-so-close relationship between biological </w:t>
      </w:r>
      <w:r>
        <w:rPr>
          <w:rFonts w:ascii="Source Sans Pro" w:hAnsi="Source Sans Pro"/>
          <w:color w:val="000000"/>
          <w:sz w:val="28"/>
          <w:szCs w:val="28"/>
          <w:shd w:val="clear" w:color="auto" w:fill="FFFFFF"/>
        </w:rPr>
        <w:t>aging</w:t>
      </w:r>
      <w:r>
        <w:rPr>
          <w:rFonts w:ascii="Helvetica" w:hAnsi="Helvetica"/>
          <w:color w:val="000000"/>
          <w:sz w:val="20"/>
          <w:szCs w:val="20"/>
          <w:bdr w:val="none" w:sz="0" w:space="0" w:color="auto" w:frame="1"/>
          <w:shd w:val="clear" w:color="auto" w:fill="FFFFFF"/>
        </w:rPr>
        <w:t> and age-associated pathologies in humans. </w:t>
      </w:r>
      <w:r>
        <w:rPr>
          <w:rStyle w:val="Emphasis"/>
          <w:rFonts w:ascii="Helvetica" w:hAnsi="Helvetica"/>
          <w:color w:val="000000"/>
          <w:sz w:val="20"/>
          <w:szCs w:val="20"/>
          <w:bdr w:val="none" w:sz="0" w:space="0" w:color="auto" w:frame="1"/>
          <w:shd w:val="clear" w:color="auto" w:fill="FFFFFF"/>
        </w:rPr>
        <w:t xml:space="preserve">J </w:t>
      </w:r>
      <w:proofErr w:type="spellStart"/>
      <w:r>
        <w:rPr>
          <w:rStyle w:val="Emphasis"/>
          <w:rFonts w:ascii="Helvetica" w:hAnsi="Helvetica"/>
          <w:color w:val="000000"/>
          <w:sz w:val="20"/>
          <w:szCs w:val="20"/>
          <w:bdr w:val="none" w:sz="0" w:space="0" w:color="auto" w:frame="1"/>
          <w:shd w:val="clear" w:color="auto" w:fill="FFFFFF"/>
        </w:rPr>
        <w:t>Gerontol</w:t>
      </w:r>
      <w:proofErr w:type="spellEnd"/>
      <w:r>
        <w:rPr>
          <w:rStyle w:val="Emphasis"/>
          <w:rFonts w:ascii="Helvetica" w:hAnsi="Helvetica"/>
          <w:color w:val="000000"/>
          <w:sz w:val="20"/>
          <w:szCs w:val="20"/>
          <w:bdr w:val="none" w:sz="0" w:space="0" w:color="auto" w:frame="1"/>
          <w:shd w:val="clear" w:color="auto" w:fill="FFFFFF"/>
        </w:rPr>
        <w:t xml:space="preserve"> </w:t>
      </w:r>
      <w:proofErr w:type="gramStart"/>
      <w:r>
        <w:rPr>
          <w:rStyle w:val="Emphasis"/>
          <w:rFonts w:ascii="Helvetica" w:hAnsi="Helvetica"/>
          <w:color w:val="000000"/>
          <w:sz w:val="20"/>
          <w:szCs w:val="20"/>
          <w:bdr w:val="none" w:sz="0" w:space="0" w:color="auto" w:frame="1"/>
          <w:shd w:val="clear" w:color="auto" w:fill="FFFFFF"/>
        </w:rPr>
        <w:t>A</w:t>
      </w:r>
      <w:proofErr w:type="gramEnd"/>
      <w:r>
        <w:rPr>
          <w:rStyle w:val="Emphasis"/>
          <w:rFonts w:ascii="Helvetica" w:hAnsi="Helvetica"/>
          <w:color w:val="000000"/>
          <w:sz w:val="20"/>
          <w:szCs w:val="20"/>
          <w:bdr w:val="none" w:sz="0" w:space="0" w:color="auto" w:frame="1"/>
          <w:shd w:val="clear" w:color="auto" w:fill="FFFFFF"/>
        </w:rPr>
        <w:t xml:space="preserve"> Biol Sci Med Sci</w:t>
      </w:r>
      <w:r>
        <w:rPr>
          <w:rFonts w:ascii="Helvetica" w:hAnsi="Helvetica"/>
          <w:color w:val="000000"/>
          <w:sz w:val="20"/>
          <w:szCs w:val="20"/>
          <w:bdr w:val="none" w:sz="0" w:space="0" w:color="auto" w:frame="1"/>
          <w:shd w:val="clear" w:color="auto" w:fill="FFFFFF"/>
        </w:rPr>
        <w:t>, </w:t>
      </w:r>
      <w:r>
        <w:rPr>
          <w:rStyle w:val="Emphasis"/>
          <w:rFonts w:ascii="Helvetica" w:hAnsi="Helvetica"/>
          <w:color w:val="000000"/>
          <w:sz w:val="20"/>
          <w:szCs w:val="20"/>
          <w:bdr w:val="none" w:sz="0" w:space="0" w:color="auto" w:frame="1"/>
          <w:shd w:val="clear" w:color="auto" w:fill="FFFFFF"/>
        </w:rPr>
        <w:t>59</w:t>
      </w:r>
      <w:r>
        <w:rPr>
          <w:rFonts w:ascii="Helvetica" w:hAnsi="Helvetica"/>
          <w:color w:val="000000"/>
          <w:sz w:val="20"/>
          <w:szCs w:val="20"/>
          <w:bdr w:val="none" w:sz="0" w:space="0" w:color="auto" w:frame="1"/>
          <w:shd w:val="clear" w:color="auto" w:fill="FFFFFF"/>
        </w:rPr>
        <w:t>(6), B547-B550. doi:10.1093/</w:t>
      </w:r>
      <w:proofErr w:type="spellStart"/>
      <w:r>
        <w:rPr>
          <w:rFonts w:ascii="Helvetica" w:hAnsi="Helvetica"/>
          <w:color w:val="000000"/>
          <w:sz w:val="20"/>
          <w:szCs w:val="20"/>
          <w:bdr w:val="none" w:sz="0" w:space="0" w:color="auto" w:frame="1"/>
          <w:shd w:val="clear" w:color="auto" w:fill="FFFFFF"/>
        </w:rPr>
        <w:t>gerona</w:t>
      </w:r>
      <w:proofErr w:type="spellEnd"/>
      <w:r>
        <w:rPr>
          <w:rFonts w:ascii="Helvetica" w:hAnsi="Helvetica"/>
          <w:color w:val="000000"/>
          <w:sz w:val="20"/>
          <w:szCs w:val="20"/>
          <w:bdr w:val="none" w:sz="0" w:space="0" w:color="auto" w:frame="1"/>
          <w:shd w:val="clear" w:color="auto" w:fill="FFFFFF"/>
        </w:rPr>
        <w:t>/59.</w:t>
      </w:r>
      <w:proofErr w:type="gramStart"/>
      <w:r>
        <w:rPr>
          <w:rFonts w:ascii="Helvetica" w:hAnsi="Helvetica"/>
          <w:color w:val="000000"/>
          <w:sz w:val="20"/>
          <w:szCs w:val="20"/>
          <w:bdr w:val="none" w:sz="0" w:space="0" w:color="auto" w:frame="1"/>
          <w:shd w:val="clear" w:color="auto" w:fill="FFFFFF"/>
        </w:rPr>
        <w:t>6.B</w:t>
      </w:r>
      <w:proofErr w:type="gramEnd"/>
      <w:r>
        <w:rPr>
          <w:rFonts w:ascii="Helvetica" w:hAnsi="Helvetica"/>
          <w:color w:val="000000"/>
          <w:sz w:val="20"/>
          <w:szCs w:val="20"/>
          <w:bdr w:val="none" w:sz="0" w:space="0" w:color="auto" w:frame="1"/>
          <w:shd w:val="clear" w:color="auto" w:fill="FFFFFF"/>
        </w:rPr>
        <w:t>547</w:t>
      </w:r>
    </w:p>
    <w:p w14:paraId="605FC475" w14:textId="77777777" w:rsidR="00F1568E" w:rsidRDefault="00601F88" w:rsidP="008B2D00">
      <w:pPr>
        <w:spacing w:before="100" w:beforeAutospacing="1" w:after="100" w:afterAutospacing="1" w:line="240" w:lineRule="auto"/>
        <w:ind w:left="360"/>
      </w:pPr>
      <w:hyperlink r:id="rId5" w:history="1">
        <w:r w:rsidR="00F1568E">
          <w:rPr>
            <w:rStyle w:val="Hyperlink"/>
          </w:rPr>
          <w:t>https://academic.oup.com/biomedgerontology/article/59/6/B547/662101</w:t>
        </w:r>
      </w:hyperlink>
    </w:p>
    <w:p w14:paraId="550097FE" w14:textId="77777777" w:rsidR="00F1568E" w:rsidRDefault="00300FB1" w:rsidP="008B2D00">
      <w:pPr>
        <w:spacing w:before="100" w:beforeAutospacing="1" w:after="100" w:afterAutospacing="1" w:line="240" w:lineRule="auto"/>
        <w:ind w:left="360"/>
        <w:rPr>
          <w:rFonts w:ascii="Helvetica" w:hAnsi="Helvetica"/>
          <w:color w:val="000000"/>
          <w:sz w:val="20"/>
          <w:szCs w:val="20"/>
          <w:bdr w:val="none" w:sz="0" w:space="0" w:color="auto" w:frame="1"/>
          <w:shd w:val="clear" w:color="auto" w:fill="FFFFFF"/>
        </w:rPr>
      </w:pPr>
      <w:proofErr w:type="spellStart"/>
      <w:r>
        <w:rPr>
          <w:rFonts w:ascii="Helvetica" w:hAnsi="Helvetica"/>
          <w:color w:val="000000"/>
          <w:sz w:val="20"/>
          <w:szCs w:val="20"/>
          <w:bdr w:val="none" w:sz="0" w:space="0" w:color="auto" w:frame="1"/>
          <w:shd w:val="clear" w:color="auto" w:fill="FFFFFF"/>
        </w:rPr>
        <w:t>Hooyman</w:t>
      </w:r>
      <w:proofErr w:type="spellEnd"/>
      <w:r>
        <w:rPr>
          <w:rFonts w:ascii="Helvetica" w:hAnsi="Helvetica"/>
          <w:color w:val="000000"/>
          <w:sz w:val="20"/>
          <w:szCs w:val="20"/>
          <w:bdr w:val="none" w:sz="0" w:space="0" w:color="auto" w:frame="1"/>
          <w:shd w:val="clear" w:color="auto" w:fill="FFFFFF"/>
        </w:rPr>
        <w:t xml:space="preserve">, N. R., &amp; </w:t>
      </w:r>
      <w:proofErr w:type="spellStart"/>
      <w:r>
        <w:rPr>
          <w:rFonts w:ascii="Helvetica" w:hAnsi="Helvetica"/>
          <w:color w:val="000000"/>
          <w:sz w:val="20"/>
          <w:szCs w:val="20"/>
          <w:bdr w:val="none" w:sz="0" w:space="0" w:color="auto" w:frame="1"/>
          <w:shd w:val="clear" w:color="auto" w:fill="FFFFFF"/>
        </w:rPr>
        <w:t>Kiyak</w:t>
      </w:r>
      <w:proofErr w:type="spellEnd"/>
      <w:r>
        <w:rPr>
          <w:rFonts w:ascii="Helvetica" w:hAnsi="Helvetica"/>
          <w:color w:val="000000"/>
          <w:sz w:val="20"/>
          <w:szCs w:val="20"/>
          <w:bdr w:val="none" w:sz="0" w:space="0" w:color="auto" w:frame="1"/>
          <w:shd w:val="clear" w:color="auto" w:fill="FFFFFF"/>
        </w:rPr>
        <w:t>, H. A. (2014). </w:t>
      </w:r>
      <w:r>
        <w:rPr>
          <w:rStyle w:val="Emphasis"/>
          <w:rFonts w:ascii="Helvetica" w:hAnsi="Helvetica"/>
          <w:color w:val="000000"/>
          <w:sz w:val="20"/>
          <w:szCs w:val="20"/>
          <w:bdr w:val="none" w:sz="0" w:space="0" w:color="auto" w:frame="1"/>
          <w:shd w:val="clear" w:color="auto" w:fill="FFFFFF"/>
        </w:rPr>
        <w:t>Social Gerontology: Pearson New International </w:t>
      </w:r>
      <w:proofErr w:type="gramStart"/>
      <w:r>
        <w:rPr>
          <w:rStyle w:val="Emphasis"/>
          <w:rFonts w:ascii="Helvetica" w:hAnsi="Helvetica"/>
          <w:color w:val="000000"/>
          <w:sz w:val="20"/>
          <w:szCs w:val="20"/>
          <w:bdr w:val="none" w:sz="0" w:space="0" w:color="auto" w:frame="1"/>
          <w:shd w:val="clear" w:color="auto" w:fill="FFFFFF"/>
        </w:rPr>
        <w:t>Edition :</w:t>
      </w:r>
      <w:proofErr w:type="gramEnd"/>
      <w:r>
        <w:rPr>
          <w:rStyle w:val="Emphasis"/>
          <w:rFonts w:ascii="Helvetica" w:hAnsi="Helvetica"/>
          <w:color w:val="000000"/>
          <w:sz w:val="20"/>
          <w:szCs w:val="20"/>
          <w:bdr w:val="none" w:sz="0" w:space="0" w:color="auto" w:frame="1"/>
          <w:shd w:val="clear" w:color="auto" w:fill="FFFFFF"/>
        </w:rPr>
        <w:t> A Multidisciplinary Perspective</w:t>
      </w:r>
      <w:r>
        <w:rPr>
          <w:rFonts w:ascii="Helvetica" w:hAnsi="Helvetica"/>
          <w:color w:val="000000"/>
          <w:sz w:val="20"/>
          <w:szCs w:val="20"/>
          <w:bdr w:val="none" w:sz="0" w:space="0" w:color="auto" w:frame="1"/>
          <w:shd w:val="clear" w:color="auto" w:fill="FFFFFF"/>
        </w:rPr>
        <w:t>. Harlow, Essex: Pearson.</w:t>
      </w:r>
    </w:p>
    <w:p w14:paraId="12D3BCCC" w14:textId="77777777" w:rsidR="00722C8D" w:rsidRDefault="00722C8D" w:rsidP="008B2D00">
      <w:pPr>
        <w:spacing w:before="100" w:beforeAutospacing="1" w:after="100" w:afterAutospacing="1" w:line="240" w:lineRule="auto"/>
        <w:ind w:left="360"/>
        <w:rPr>
          <w:rFonts w:ascii="Helvetica" w:hAnsi="Helvetica"/>
          <w:color w:val="000000"/>
          <w:sz w:val="20"/>
          <w:szCs w:val="20"/>
          <w:bdr w:val="none" w:sz="0" w:space="0" w:color="auto" w:frame="1"/>
          <w:shd w:val="clear" w:color="auto" w:fill="FFFFFF"/>
        </w:rPr>
      </w:pPr>
      <w:r>
        <w:rPr>
          <w:rFonts w:ascii="Helvetica" w:hAnsi="Helvetica"/>
          <w:color w:val="000000"/>
          <w:sz w:val="20"/>
          <w:szCs w:val="20"/>
          <w:bdr w:val="none" w:sz="0" w:space="0" w:color="auto" w:frame="1"/>
          <w:shd w:val="clear" w:color="auto" w:fill="FFFFFF"/>
        </w:rPr>
        <w:t xml:space="preserve">Le </w:t>
      </w:r>
      <w:proofErr w:type="spellStart"/>
      <w:r>
        <w:rPr>
          <w:rFonts w:ascii="Helvetica" w:hAnsi="Helvetica"/>
          <w:color w:val="000000"/>
          <w:sz w:val="20"/>
          <w:szCs w:val="20"/>
          <w:bdr w:val="none" w:sz="0" w:space="0" w:color="auto" w:frame="1"/>
          <w:shd w:val="clear" w:color="auto" w:fill="FFFFFF"/>
        </w:rPr>
        <w:t>Couteur</w:t>
      </w:r>
      <w:proofErr w:type="spellEnd"/>
      <w:r>
        <w:rPr>
          <w:rFonts w:ascii="Helvetica" w:hAnsi="Helvetica"/>
          <w:color w:val="000000"/>
          <w:sz w:val="20"/>
          <w:szCs w:val="20"/>
          <w:bdr w:val="none" w:sz="0" w:space="0" w:color="auto" w:frame="1"/>
          <w:shd w:val="clear" w:color="auto" w:fill="FFFFFF"/>
        </w:rPr>
        <w:t xml:space="preserve">, D. G., </w:t>
      </w:r>
      <w:proofErr w:type="spellStart"/>
      <w:r>
        <w:rPr>
          <w:rFonts w:ascii="Helvetica" w:hAnsi="Helvetica"/>
          <w:color w:val="000000"/>
          <w:sz w:val="20"/>
          <w:szCs w:val="20"/>
          <w:bdr w:val="none" w:sz="0" w:space="0" w:color="auto" w:frame="1"/>
          <w:shd w:val="clear" w:color="auto" w:fill="FFFFFF"/>
        </w:rPr>
        <w:t>Naganathan</w:t>
      </w:r>
      <w:proofErr w:type="spellEnd"/>
      <w:r>
        <w:rPr>
          <w:rFonts w:ascii="Helvetica" w:hAnsi="Helvetica"/>
          <w:color w:val="000000"/>
          <w:sz w:val="20"/>
          <w:szCs w:val="20"/>
          <w:bdr w:val="none" w:sz="0" w:space="0" w:color="auto" w:frame="1"/>
          <w:shd w:val="clear" w:color="auto" w:fill="FFFFFF"/>
        </w:rPr>
        <w:t>, V., Cogger, V. C., Simpson, S. J., &amp; de Cabo, R. (2014). Biology of Ageing. In G. Caplan (Ed.), </w:t>
      </w:r>
      <w:r>
        <w:rPr>
          <w:rStyle w:val="Emphasis"/>
          <w:rFonts w:ascii="Helvetica" w:hAnsi="Helvetica"/>
          <w:color w:val="000000"/>
          <w:sz w:val="20"/>
          <w:szCs w:val="20"/>
          <w:bdr w:val="none" w:sz="0" w:space="0" w:color="auto" w:frame="1"/>
          <w:shd w:val="clear" w:color="auto" w:fill="FFFFFF"/>
        </w:rPr>
        <w:t>Geriatric Medicine: an introduction</w:t>
      </w:r>
      <w:r>
        <w:rPr>
          <w:rFonts w:ascii="Helvetica" w:hAnsi="Helvetica"/>
          <w:color w:val="000000"/>
          <w:sz w:val="20"/>
          <w:szCs w:val="20"/>
          <w:bdr w:val="none" w:sz="0" w:space="0" w:color="auto" w:frame="1"/>
          <w:shd w:val="clear" w:color="auto" w:fill="FFFFFF"/>
        </w:rPr>
        <w:t> (pp. 3-16). Melbourne: IP Communications.</w:t>
      </w:r>
    </w:p>
    <w:p w14:paraId="5FFEA98F" w14:textId="77777777" w:rsidR="00722C8D" w:rsidRDefault="00722C8D" w:rsidP="008B2D00">
      <w:pPr>
        <w:spacing w:before="100" w:beforeAutospacing="1" w:after="100" w:afterAutospacing="1" w:line="240" w:lineRule="auto"/>
        <w:ind w:left="360"/>
        <w:rPr>
          <w:rFonts w:ascii="Source Sans Pro" w:hAnsi="Source Sans Pro"/>
          <w:color w:val="111111"/>
          <w:sz w:val="20"/>
          <w:szCs w:val="20"/>
          <w:bdr w:val="none" w:sz="0" w:space="0" w:color="auto" w:frame="1"/>
          <w:shd w:val="clear" w:color="auto" w:fill="EFEFEF"/>
        </w:rPr>
      </w:pPr>
      <w:r>
        <w:rPr>
          <w:rFonts w:ascii="Source Sans Pro" w:hAnsi="Source Sans Pro"/>
          <w:color w:val="111111"/>
          <w:sz w:val="20"/>
          <w:szCs w:val="20"/>
          <w:bdr w:val="none" w:sz="0" w:space="0" w:color="auto" w:frame="1"/>
          <w:shd w:val="clear" w:color="auto" w:fill="EFEFEF"/>
        </w:rPr>
        <w:t>Poole, M. (2013). Ageing, Health, and the Demographic Revolution. In J. </w:t>
      </w:r>
      <w:proofErr w:type="spellStart"/>
      <w:r>
        <w:rPr>
          <w:rFonts w:ascii="Source Sans Pro" w:hAnsi="Source Sans Pro"/>
          <w:color w:val="111111"/>
          <w:sz w:val="28"/>
          <w:szCs w:val="28"/>
          <w:shd w:val="clear" w:color="auto" w:fill="EFEFEF"/>
        </w:rPr>
        <w:t>Germov</w:t>
      </w:r>
      <w:proofErr w:type="spellEnd"/>
      <w:r>
        <w:rPr>
          <w:rFonts w:ascii="Source Sans Pro" w:hAnsi="Source Sans Pro"/>
          <w:color w:val="111111"/>
          <w:sz w:val="20"/>
          <w:szCs w:val="20"/>
          <w:bdr w:val="none" w:sz="0" w:space="0" w:color="auto" w:frame="1"/>
          <w:shd w:val="clear" w:color="auto" w:fill="EFEFEF"/>
        </w:rPr>
        <w:t> (Ed.), </w:t>
      </w:r>
      <w:r>
        <w:rPr>
          <w:rStyle w:val="Emphasis"/>
          <w:rFonts w:ascii="Source Sans Pro" w:hAnsi="Source Sans Pro"/>
          <w:color w:val="111111"/>
          <w:sz w:val="20"/>
          <w:szCs w:val="20"/>
          <w:bdr w:val="none" w:sz="0" w:space="0" w:color="auto" w:frame="1"/>
          <w:shd w:val="clear" w:color="auto" w:fill="EFEFEF"/>
        </w:rPr>
        <w:t>Second Opinion: An Introduction to Health Sociology</w:t>
      </w:r>
      <w:r>
        <w:rPr>
          <w:rFonts w:ascii="Source Sans Pro" w:hAnsi="Source Sans Pro"/>
          <w:color w:val="111111"/>
          <w:sz w:val="20"/>
          <w:szCs w:val="20"/>
          <w:bdr w:val="none" w:sz="0" w:space="0" w:color="auto" w:frame="1"/>
          <w:shd w:val="clear" w:color="auto" w:fill="EFEFEF"/>
        </w:rPr>
        <w:t> (5</w:t>
      </w:r>
      <w:r>
        <w:rPr>
          <w:rFonts w:ascii="Source Sans Pro" w:hAnsi="Source Sans Pro"/>
          <w:color w:val="111111"/>
          <w:sz w:val="28"/>
          <w:szCs w:val="28"/>
          <w:shd w:val="clear" w:color="auto" w:fill="EFEFEF"/>
        </w:rPr>
        <w:t>th</w:t>
      </w:r>
      <w:r>
        <w:rPr>
          <w:rFonts w:ascii="Source Sans Pro" w:hAnsi="Source Sans Pro"/>
          <w:color w:val="111111"/>
          <w:sz w:val="20"/>
          <w:szCs w:val="20"/>
          <w:bdr w:val="none" w:sz="0" w:space="0" w:color="auto" w:frame="1"/>
          <w:shd w:val="clear" w:color="auto" w:fill="EFEFEF"/>
        </w:rPr>
        <w:t> </w:t>
      </w:r>
      <w:r>
        <w:rPr>
          <w:rFonts w:ascii="Source Sans Pro" w:hAnsi="Source Sans Pro"/>
          <w:color w:val="111111"/>
          <w:sz w:val="28"/>
          <w:szCs w:val="28"/>
          <w:shd w:val="clear" w:color="auto" w:fill="EFEFEF"/>
        </w:rPr>
        <w:t>ed</w:t>
      </w:r>
      <w:r>
        <w:rPr>
          <w:rFonts w:ascii="Source Sans Pro" w:hAnsi="Source Sans Pro"/>
          <w:color w:val="111111"/>
          <w:sz w:val="20"/>
          <w:szCs w:val="20"/>
          <w:bdr w:val="none" w:sz="0" w:space="0" w:color="auto" w:frame="1"/>
          <w:shd w:val="clear" w:color="auto" w:fill="EFEFEF"/>
        </w:rPr>
        <w:t>.). Melbourne: Oxford University Press.</w:t>
      </w:r>
    </w:p>
    <w:p w14:paraId="47BBCFC8" w14:textId="77777777" w:rsidR="00722C8D" w:rsidRPr="00722C8D" w:rsidRDefault="00722C8D" w:rsidP="00722C8D">
      <w:pPr>
        <w:shd w:val="clear" w:color="auto" w:fill="FFFFFF"/>
        <w:spacing w:beforeAutospacing="1" w:after="0" w:afterAutospacing="1" w:line="240" w:lineRule="auto"/>
        <w:rPr>
          <w:rFonts w:ascii="Source Sans Pro" w:eastAsia="Times New Roman" w:hAnsi="Source Sans Pro" w:cs="Times New Roman"/>
          <w:color w:val="111111"/>
          <w:sz w:val="28"/>
          <w:szCs w:val="28"/>
          <w:lang w:eastAsia="en-AU"/>
        </w:rPr>
      </w:pPr>
      <w:proofErr w:type="spellStart"/>
      <w:r w:rsidRPr="00722C8D">
        <w:rPr>
          <w:rFonts w:ascii="Source Sans Pro" w:eastAsia="Times New Roman" w:hAnsi="Source Sans Pro" w:cs="Times New Roman"/>
          <w:color w:val="111111"/>
          <w:sz w:val="28"/>
          <w:szCs w:val="28"/>
          <w:lang w:eastAsia="en-AU"/>
        </w:rPr>
        <w:t>Germov</w:t>
      </w:r>
      <w:proofErr w:type="spellEnd"/>
      <w:r w:rsidRPr="00722C8D">
        <w:rPr>
          <w:rFonts w:ascii="Source Sans Pro" w:eastAsia="Times New Roman" w:hAnsi="Source Sans Pro" w:cs="Times New Roman"/>
          <w:color w:val="111111"/>
          <w:sz w:val="28"/>
          <w:szCs w:val="28"/>
          <w:lang w:eastAsia="en-AU"/>
        </w:rPr>
        <w:t xml:space="preserve">, J. (2013). Imagining Health Problems as Social Issues. In J. </w:t>
      </w:r>
      <w:proofErr w:type="spellStart"/>
      <w:r w:rsidRPr="00722C8D">
        <w:rPr>
          <w:rFonts w:ascii="Source Sans Pro" w:eastAsia="Times New Roman" w:hAnsi="Source Sans Pro" w:cs="Times New Roman"/>
          <w:color w:val="111111"/>
          <w:sz w:val="28"/>
          <w:szCs w:val="28"/>
          <w:lang w:eastAsia="en-AU"/>
        </w:rPr>
        <w:t>Germov</w:t>
      </w:r>
      <w:proofErr w:type="spellEnd"/>
      <w:r w:rsidRPr="00722C8D">
        <w:rPr>
          <w:rFonts w:ascii="Source Sans Pro" w:eastAsia="Times New Roman" w:hAnsi="Source Sans Pro" w:cs="Times New Roman"/>
          <w:color w:val="111111"/>
          <w:sz w:val="28"/>
          <w:szCs w:val="28"/>
          <w:lang w:eastAsia="en-AU"/>
        </w:rPr>
        <w:t xml:space="preserve"> (Ed.), </w:t>
      </w:r>
      <w:r w:rsidRPr="00722C8D">
        <w:rPr>
          <w:rFonts w:ascii="Source Sans Pro" w:eastAsia="Times New Roman" w:hAnsi="Source Sans Pro" w:cs="Times New Roman"/>
          <w:i/>
          <w:iCs/>
          <w:color w:val="111111"/>
          <w:sz w:val="28"/>
          <w:szCs w:val="28"/>
          <w:bdr w:val="none" w:sz="0" w:space="0" w:color="auto" w:frame="1"/>
          <w:lang w:eastAsia="en-AU"/>
        </w:rPr>
        <w:t>Second Opinion: an introduction to health sociology</w:t>
      </w:r>
      <w:r w:rsidRPr="00722C8D">
        <w:rPr>
          <w:rFonts w:ascii="Source Sans Pro" w:eastAsia="Times New Roman" w:hAnsi="Source Sans Pro" w:cs="Times New Roman"/>
          <w:color w:val="111111"/>
          <w:sz w:val="28"/>
          <w:szCs w:val="28"/>
          <w:lang w:eastAsia="en-AU"/>
        </w:rPr>
        <w:t> (5 ed., pp. 3-24). South Melbourne: Oxford University Press</w:t>
      </w:r>
    </w:p>
    <w:p w14:paraId="0B1EF6AA" w14:textId="77777777" w:rsidR="00722C8D" w:rsidRPr="00722C8D" w:rsidRDefault="00722C8D" w:rsidP="00722C8D">
      <w:pPr>
        <w:shd w:val="clear" w:color="auto" w:fill="FFFFFF"/>
        <w:spacing w:beforeAutospacing="1" w:after="0" w:afterAutospacing="1" w:line="240" w:lineRule="auto"/>
        <w:rPr>
          <w:rFonts w:ascii="Source Sans Pro" w:eastAsia="Times New Roman" w:hAnsi="Source Sans Pro" w:cs="Times New Roman"/>
          <w:color w:val="111111"/>
          <w:sz w:val="28"/>
          <w:szCs w:val="28"/>
          <w:lang w:eastAsia="en-AU"/>
        </w:rPr>
      </w:pPr>
      <w:r w:rsidRPr="00722C8D">
        <w:rPr>
          <w:rFonts w:ascii="Source Sans Pro" w:eastAsia="Times New Roman" w:hAnsi="Source Sans Pro" w:cs="Times New Roman"/>
          <w:color w:val="111111"/>
          <w:sz w:val="28"/>
          <w:szCs w:val="28"/>
          <w:lang w:eastAsia="en-AU"/>
        </w:rPr>
        <w:t>Lorde, A. (1984). </w:t>
      </w:r>
      <w:r w:rsidRPr="00722C8D">
        <w:rPr>
          <w:rFonts w:ascii="Source Sans Pro" w:eastAsia="Times New Roman" w:hAnsi="Source Sans Pro" w:cs="Times New Roman"/>
          <w:i/>
          <w:iCs/>
          <w:color w:val="111111"/>
          <w:sz w:val="28"/>
          <w:szCs w:val="28"/>
          <w:bdr w:val="none" w:sz="0" w:space="0" w:color="auto" w:frame="1"/>
          <w:lang w:eastAsia="en-AU"/>
        </w:rPr>
        <w:t>Sister Outsider: Essays &amp; Speeches by Audre Lorde.</w:t>
      </w:r>
      <w:r w:rsidRPr="00722C8D">
        <w:rPr>
          <w:rFonts w:ascii="Source Sans Pro" w:eastAsia="Times New Roman" w:hAnsi="Source Sans Pro" w:cs="Times New Roman"/>
          <w:color w:val="111111"/>
          <w:sz w:val="28"/>
          <w:szCs w:val="28"/>
          <w:lang w:eastAsia="en-AU"/>
        </w:rPr>
        <w:t> Berkeley, CA: The Crossing Press.</w:t>
      </w:r>
    </w:p>
    <w:p w14:paraId="3DE9846A" w14:textId="77777777" w:rsidR="00722C8D" w:rsidRPr="00722C8D" w:rsidRDefault="00722C8D" w:rsidP="00722C8D">
      <w:pPr>
        <w:shd w:val="clear" w:color="auto" w:fill="FFFFFF"/>
        <w:spacing w:beforeAutospacing="1" w:after="0" w:afterAutospacing="1" w:line="240" w:lineRule="auto"/>
        <w:rPr>
          <w:rFonts w:ascii="Source Sans Pro" w:eastAsia="Times New Roman" w:hAnsi="Source Sans Pro" w:cs="Times New Roman"/>
          <w:color w:val="111111"/>
          <w:sz w:val="28"/>
          <w:szCs w:val="28"/>
          <w:lang w:eastAsia="en-AU"/>
        </w:rPr>
      </w:pPr>
      <w:proofErr w:type="spellStart"/>
      <w:r w:rsidRPr="00722C8D">
        <w:rPr>
          <w:rFonts w:ascii="Source Sans Pro" w:eastAsia="Times New Roman" w:hAnsi="Source Sans Pro" w:cs="Times New Roman"/>
          <w:color w:val="111111"/>
          <w:sz w:val="28"/>
          <w:szCs w:val="28"/>
          <w:lang w:eastAsia="en-AU"/>
        </w:rPr>
        <w:lastRenderedPageBreak/>
        <w:t>Kontis</w:t>
      </w:r>
      <w:proofErr w:type="spellEnd"/>
      <w:r w:rsidRPr="00722C8D">
        <w:rPr>
          <w:rFonts w:ascii="Source Sans Pro" w:eastAsia="Times New Roman" w:hAnsi="Source Sans Pro" w:cs="Times New Roman"/>
          <w:color w:val="111111"/>
          <w:sz w:val="28"/>
          <w:szCs w:val="28"/>
          <w:lang w:eastAsia="en-AU"/>
        </w:rPr>
        <w:t xml:space="preserve">, V., Bennett, J. E., Mathers, C. D., Li, G., Foreman, K., &amp; </w:t>
      </w:r>
      <w:proofErr w:type="spellStart"/>
      <w:r w:rsidRPr="00722C8D">
        <w:rPr>
          <w:rFonts w:ascii="Source Sans Pro" w:eastAsia="Times New Roman" w:hAnsi="Source Sans Pro" w:cs="Times New Roman"/>
          <w:color w:val="111111"/>
          <w:sz w:val="28"/>
          <w:szCs w:val="28"/>
          <w:lang w:eastAsia="en-AU"/>
        </w:rPr>
        <w:t>Ezzati</w:t>
      </w:r>
      <w:proofErr w:type="spellEnd"/>
      <w:r w:rsidRPr="00722C8D">
        <w:rPr>
          <w:rFonts w:ascii="Source Sans Pro" w:eastAsia="Times New Roman" w:hAnsi="Source Sans Pro" w:cs="Times New Roman"/>
          <w:color w:val="111111"/>
          <w:sz w:val="28"/>
          <w:szCs w:val="28"/>
          <w:lang w:eastAsia="en-AU"/>
        </w:rPr>
        <w:t>, M. (2017). Future life expectancy in 35 industrialised countries: projections with a Bayesian model ensemble. </w:t>
      </w:r>
      <w:r w:rsidRPr="00722C8D">
        <w:rPr>
          <w:rFonts w:ascii="Source Sans Pro" w:eastAsia="Times New Roman" w:hAnsi="Source Sans Pro" w:cs="Times New Roman"/>
          <w:i/>
          <w:iCs/>
          <w:color w:val="111111"/>
          <w:sz w:val="28"/>
          <w:szCs w:val="28"/>
          <w:bdr w:val="none" w:sz="0" w:space="0" w:color="auto" w:frame="1"/>
          <w:lang w:eastAsia="en-AU"/>
        </w:rPr>
        <w:t>The Lancet, 389(</w:t>
      </w:r>
      <w:r w:rsidRPr="00722C8D">
        <w:rPr>
          <w:rFonts w:ascii="Source Sans Pro" w:eastAsia="Times New Roman" w:hAnsi="Source Sans Pro" w:cs="Times New Roman"/>
          <w:color w:val="111111"/>
          <w:sz w:val="28"/>
          <w:szCs w:val="28"/>
          <w:lang w:eastAsia="en-AU"/>
        </w:rPr>
        <w:t>10076), 1323-1335. doi:10.1016/S0140-6736(16)32381-9</w:t>
      </w:r>
    </w:p>
    <w:p w14:paraId="4289BA3D" w14:textId="77777777" w:rsidR="00722C8D" w:rsidRDefault="00722C8D" w:rsidP="00722C8D">
      <w:pPr>
        <w:shd w:val="clear" w:color="auto" w:fill="FFFFFF"/>
        <w:spacing w:beforeAutospacing="1" w:after="0" w:afterAutospacing="1" w:line="240" w:lineRule="auto"/>
        <w:rPr>
          <w:rFonts w:ascii="Source Sans Pro" w:eastAsia="Times New Roman" w:hAnsi="Source Sans Pro" w:cs="Times New Roman"/>
          <w:color w:val="111111"/>
          <w:sz w:val="28"/>
          <w:szCs w:val="28"/>
          <w:lang w:eastAsia="en-AU"/>
        </w:rPr>
      </w:pPr>
      <w:proofErr w:type="gramStart"/>
      <w:r w:rsidRPr="00722C8D">
        <w:rPr>
          <w:rFonts w:ascii="Source Sans Pro" w:eastAsia="Times New Roman" w:hAnsi="Source Sans Pro" w:cs="Times New Roman"/>
          <w:color w:val="111111"/>
          <w:sz w:val="28"/>
          <w:szCs w:val="28"/>
          <w:lang w:eastAsia="en-AU"/>
        </w:rPr>
        <w:t>WHO (Producer).</w:t>
      </w:r>
      <w:proofErr w:type="gramEnd"/>
      <w:r w:rsidRPr="00722C8D">
        <w:rPr>
          <w:rFonts w:ascii="Source Sans Pro" w:eastAsia="Times New Roman" w:hAnsi="Source Sans Pro" w:cs="Times New Roman"/>
          <w:color w:val="111111"/>
          <w:sz w:val="28"/>
          <w:szCs w:val="28"/>
          <w:lang w:eastAsia="en-AU"/>
        </w:rPr>
        <w:t xml:space="preserve"> (2014). Age-Friendly World: adding life to years. Retrieved from </w:t>
      </w:r>
      <w:hyperlink r:id="rId6" w:tgtFrame="_blank" w:history="1">
        <w:r w:rsidRPr="00722C8D">
          <w:rPr>
            <w:rFonts w:ascii="Source Sans Pro" w:eastAsia="Times New Roman" w:hAnsi="Source Sans Pro" w:cs="Times New Roman"/>
            <w:color w:val="347EA4"/>
            <w:sz w:val="28"/>
            <w:szCs w:val="28"/>
            <w:u w:val="single"/>
            <w:bdr w:val="none" w:sz="0" w:space="0" w:color="auto" w:frame="1"/>
            <w:lang w:eastAsia="en-AU"/>
          </w:rPr>
          <w:t>https://extranet.who.int/agefriendlyworld/age-friendly-in-practice/</w:t>
        </w:r>
      </w:hyperlink>
    </w:p>
    <w:p w14:paraId="38BA86EF" w14:textId="77777777" w:rsidR="00722C8D" w:rsidRPr="00722C8D" w:rsidRDefault="00722C8D" w:rsidP="00722C8D">
      <w:pPr>
        <w:shd w:val="clear" w:color="auto" w:fill="FFFFFF"/>
        <w:spacing w:beforeAutospacing="1" w:after="0" w:afterAutospacing="1" w:line="240" w:lineRule="auto"/>
        <w:rPr>
          <w:rFonts w:ascii="Source Sans Pro" w:eastAsia="Times New Roman" w:hAnsi="Source Sans Pro" w:cs="Times New Roman"/>
          <w:color w:val="111111"/>
          <w:sz w:val="28"/>
          <w:szCs w:val="28"/>
          <w:lang w:eastAsia="en-AU"/>
        </w:rPr>
      </w:pPr>
    </w:p>
    <w:p w14:paraId="66D75151" w14:textId="77777777" w:rsidR="00722C8D" w:rsidRDefault="00722C8D" w:rsidP="008B2D00">
      <w:pPr>
        <w:spacing w:before="100" w:beforeAutospacing="1" w:after="100" w:afterAutospacing="1" w:line="240" w:lineRule="auto"/>
        <w:ind w:left="360"/>
      </w:pPr>
      <w:proofErr w:type="spellStart"/>
      <w:r>
        <w:rPr>
          <w:rFonts w:ascii="Source Sans Pro" w:hAnsi="Source Sans Pro"/>
          <w:color w:val="111111"/>
          <w:sz w:val="28"/>
          <w:szCs w:val="28"/>
          <w:shd w:val="clear" w:color="auto" w:fill="EFEFEF"/>
        </w:rPr>
        <w:t>Gattuso</w:t>
      </w:r>
      <w:proofErr w:type="spellEnd"/>
      <w:r>
        <w:rPr>
          <w:rFonts w:ascii="Source Sans Pro" w:hAnsi="Source Sans Pro"/>
          <w:color w:val="111111"/>
          <w:sz w:val="28"/>
          <w:szCs w:val="28"/>
          <w:shd w:val="clear" w:color="auto" w:fill="EFEFEF"/>
        </w:rPr>
        <w:t xml:space="preserve">, S. (2003). Becoming a wise old woman: Resilience and wellness in later life. </w:t>
      </w:r>
      <w:hyperlink r:id="rId7" w:history="1">
        <w:r>
          <w:rPr>
            <w:rStyle w:val="Hyperlink"/>
          </w:rPr>
          <w:t>https://www.researchgate.net/publication/281604080_Becoming_a_wise_old_woman_Resilience_and_wellness_in_later_life</w:t>
        </w:r>
      </w:hyperlink>
    </w:p>
    <w:p w14:paraId="6D57901A" w14:textId="77777777" w:rsidR="00EC67DD" w:rsidRDefault="00EC67DD" w:rsidP="008B2D00">
      <w:pPr>
        <w:spacing w:before="100" w:beforeAutospacing="1" w:after="100" w:afterAutospacing="1" w:line="240" w:lineRule="auto"/>
        <w:ind w:left="360"/>
      </w:pPr>
      <w:proofErr w:type="spellStart"/>
      <w:r>
        <w:rPr>
          <w:rFonts w:ascii="Source Sans Pro" w:hAnsi="Source Sans Pro"/>
          <w:color w:val="111111"/>
          <w:sz w:val="28"/>
          <w:szCs w:val="28"/>
          <w:shd w:val="clear" w:color="auto" w:fill="FFFFFF"/>
        </w:rPr>
        <w:t>BeyondBlue</w:t>
      </w:r>
      <w:proofErr w:type="spellEnd"/>
      <w:r>
        <w:rPr>
          <w:rFonts w:ascii="Source Sans Pro" w:hAnsi="Source Sans Pro"/>
          <w:color w:val="111111"/>
          <w:sz w:val="28"/>
          <w:szCs w:val="28"/>
          <w:shd w:val="clear" w:color="auto" w:fill="FFFFFF"/>
        </w:rPr>
        <w:t xml:space="preserve"> (Producer). (2016, May 18th, 2017). </w:t>
      </w:r>
      <w:r>
        <w:rPr>
          <w:rStyle w:val="Emphasis"/>
          <w:rFonts w:ascii="Source Sans Pro" w:hAnsi="Source Sans Pro"/>
          <w:color w:val="111111"/>
          <w:sz w:val="28"/>
          <w:szCs w:val="28"/>
          <w:bdr w:val="none" w:sz="0" w:space="0" w:color="auto" w:frame="1"/>
          <w:shd w:val="clear" w:color="auto" w:fill="FFFFFF"/>
        </w:rPr>
        <w:t>Have the conversation with older people</w:t>
      </w:r>
      <w:r>
        <w:rPr>
          <w:rFonts w:ascii="Source Sans Pro" w:hAnsi="Source Sans Pro"/>
          <w:color w:val="111111"/>
          <w:sz w:val="28"/>
          <w:szCs w:val="28"/>
          <w:shd w:val="clear" w:color="auto" w:fill="FFFFFF"/>
        </w:rPr>
        <w:t>.  Retrieved from:</w:t>
      </w:r>
      <w:hyperlink r:id="rId8" w:tgtFrame="_blank" w:history="1">
        <w:r>
          <w:rPr>
            <w:rStyle w:val="Hyperlink"/>
            <w:rFonts w:ascii="Source Sans Pro" w:hAnsi="Source Sans Pro"/>
            <w:color w:val="347EA4"/>
            <w:sz w:val="28"/>
            <w:szCs w:val="28"/>
            <w:bdr w:val="none" w:sz="0" w:space="0" w:color="auto" w:frame="1"/>
            <w:shd w:val="clear" w:color="auto" w:fill="FFFFFF"/>
          </w:rPr>
          <w:t> https://www.beyondblue.org.au/who-does-it-affect/older-people/have-the-conversation-with-older-people</w:t>
        </w:r>
      </w:hyperlink>
      <w:r>
        <w:rPr>
          <w:rFonts w:ascii="Source Sans Pro" w:hAnsi="Source Sans Pro"/>
          <w:color w:val="111111"/>
          <w:sz w:val="28"/>
          <w:szCs w:val="28"/>
          <w:shd w:val="clear" w:color="auto" w:fill="FFFFFF"/>
        </w:rPr>
        <w:t>.</w:t>
      </w:r>
    </w:p>
    <w:p w14:paraId="53402311" w14:textId="77777777" w:rsidR="00722C8D" w:rsidRPr="00B129A1" w:rsidRDefault="00722C8D" w:rsidP="008B2D00">
      <w:pPr>
        <w:spacing w:before="100" w:beforeAutospacing="1" w:after="100" w:afterAutospacing="1" w:line="240" w:lineRule="auto"/>
        <w:ind w:left="360"/>
        <w:rPr>
          <w:sz w:val="24"/>
          <w:szCs w:val="24"/>
        </w:rPr>
      </w:pPr>
    </w:p>
    <w:p w14:paraId="5E8E131F" w14:textId="77777777" w:rsidR="00722C8D" w:rsidRPr="00722C8D" w:rsidRDefault="00722C8D" w:rsidP="00722C8D">
      <w:pPr>
        <w:shd w:val="clear" w:color="auto" w:fill="FFFFFF"/>
        <w:spacing w:beforeAutospacing="1" w:after="0" w:afterAutospacing="1" w:line="240" w:lineRule="auto"/>
        <w:rPr>
          <w:rFonts w:ascii="Source Sans Pro" w:eastAsia="Times New Roman" w:hAnsi="Source Sans Pro" w:cs="Times New Roman"/>
          <w:color w:val="111111"/>
          <w:sz w:val="24"/>
          <w:szCs w:val="24"/>
          <w:lang w:eastAsia="en-AU"/>
        </w:rPr>
      </w:pPr>
      <w:r w:rsidRPr="00722C8D">
        <w:rPr>
          <w:rFonts w:ascii="Helvetica" w:eastAsia="Times New Roman" w:hAnsi="Helvetica" w:cs="Times New Roman"/>
          <w:color w:val="000000"/>
          <w:sz w:val="24"/>
          <w:szCs w:val="24"/>
          <w:bdr w:val="none" w:sz="0" w:space="0" w:color="auto" w:frame="1"/>
          <w:lang w:eastAsia="en-AU"/>
        </w:rPr>
        <w:t>ABS. (2016a). 4430.0 - Profile of people with </w:t>
      </w:r>
      <w:proofErr w:type="spellStart"/>
      <w:r w:rsidRPr="00722C8D">
        <w:rPr>
          <w:rFonts w:ascii="Helvetica" w:eastAsia="Times New Roman" w:hAnsi="Helvetica" w:cs="Times New Roman"/>
          <w:color w:val="111111"/>
          <w:sz w:val="24"/>
          <w:szCs w:val="24"/>
          <w:bdr w:val="none" w:sz="0" w:space="0" w:color="auto" w:frame="1"/>
          <w:lang w:eastAsia="en-AU"/>
        </w:rPr>
        <w:t>disabilty</w:t>
      </w:r>
      <w:proofErr w:type="spellEnd"/>
      <w:r w:rsidRPr="00722C8D">
        <w:rPr>
          <w:rFonts w:ascii="Helvetica" w:eastAsia="Times New Roman" w:hAnsi="Helvetica" w:cs="Times New Roman"/>
          <w:color w:val="000000"/>
          <w:sz w:val="24"/>
          <w:szCs w:val="24"/>
          <w:bdr w:val="none" w:sz="0" w:space="0" w:color="auto" w:frame="1"/>
          <w:lang w:eastAsia="en-AU"/>
        </w:rPr>
        <w:t> in Australia. Retrieved from</w:t>
      </w:r>
      <w:hyperlink r:id="rId9" w:tgtFrame="_blank" w:history="1">
        <w:r w:rsidRPr="00722C8D">
          <w:rPr>
            <w:rFonts w:ascii="Helvetica" w:eastAsia="Times New Roman" w:hAnsi="Helvetica" w:cs="Times New Roman"/>
            <w:color w:val="BF1819"/>
            <w:sz w:val="24"/>
            <w:szCs w:val="24"/>
            <w:u w:val="single"/>
            <w:bdr w:val="none" w:sz="0" w:space="0" w:color="auto" w:frame="1"/>
            <w:lang w:eastAsia="en-AU"/>
          </w:rPr>
          <w:t> http://www.abs.gov.au/AUSSTATS/abs@.nsf/DetailsPage/4430.02015?OpenDocument</w:t>
        </w:r>
      </w:hyperlink>
      <w:r w:rsidRPr="00722C8D">
        <w:rPr>
          <w:rFonts w:ascii="Helvetica" w:eastAsia="Times New Roman" w:hAnsi="Helvetica" w:cs="Times New Roman"/>
          <w:color w:val="000000"/>
          <w:sz w:val="24"/>
          <w:szCs w:val="24"/>
          <w:bdr w:val="none" w:sz="0" w:space="0" w:color="auto" w:frame="1"/>
          <w:lang w:eastAsia="en-AU"/>
        </w:rPr>
        <w:t> </w:t>
      </w:r>
      <w:r w:rsidRPr="00722C8D">
        <w:rPr>
          <w:rFonts w:ascii="Helvetica" w:eastAsia="Times New Roman" w:hAnsi="Helvetica" w:cs="Times New Roman"/>
          <w:color w:val="111111"/>
          <w:sz w:val="24"/>
          <w:szCs w:val="24"/>
          <w:bdr w:val="none" w:sz="0" w:space="0" w:color="auto" w:frame="1"/>
          <w:lang w:eastAsia="en-AU"/>
        </w:rPr>
        <w:t> </w:t>
      </w:r>
    </w:p>
    <w:p w14:paraId="0B808533" w14:textId="77777777" w:rsidR="00722C8D" w:rsidRPr="00722C8D" w:rsidRDefault="00722C8D" w:rsidP="00722C8D">
      <w:pPr>
        <w:shd w:val="clear" w:color="auto" w:fill="FFFFFF"/>
        <w:spacing w:beforeAutospacing="1" w:after="0" w:afterAutospacing="1" w:line="240" w:lineRule="auto"/>
        <w:rPr>
          <w:rFonts w:ascii="Source Sans Pro" w:eastAsia="Times New Roman" w:hAnsi="Source Sans Pro" w:cs="Times New Roman"/>
          <w:color w:val="111111"/>
          <w:sz w:val="24"/>
          <w:szCs w:val="24"/>
          <w:lang w:eastAsia="en-AU"/>
        </w:rPr>
      </w:pPr>
      <w:r w:rsidRPr="00722C8D">
        <w:rPr>
          <w:rFonts w:ascii="Helvetica" w:eastAsia="Times New Roman" w:hAnsi="Helvetica" w:cs="Times New Roman"/>
          <w:color w:val="000000"/>
          <w:sz w:val="24"/>
          <w:szCs w:val="24"/>
          <w:bdr w:val="none" w:sz="0" w:space="0" w:color="auto" w:frame="1"/>
          <w:lang w:eastAsia="en-AU"/>
        </w:rPr>
        <w:t>AIHW. (2012). </w:t>
      </w:r>
      <w:r w:rsidRPr="00722C8D">
        <w:rPr>
          <w:rFonts w:ascii="Helvetica" w:eastAsia="Times New Roman" w:hAnsi="Helvetica" w:cs="Times New Roman"/>
          <w:i/>
          <w:iCs/>
          <w:color w:val="000000"/>
          <w:sz w:val="24"/>
          <w:szCs w:val="24"/>
          <w:bdr w:val="none" w:sz="0" w:space="0" w:color="auto" w:frame="1"/>
          <w:lang w:eastAsia="en-AU"/>
        </w:rPr>
        <w:t>Dementia in Australia.</w:t>
      </w:r>
      <w:r w:rsidRPr="00722C8D">
        <w:rPr>
          <w:rFonts w:ascii="Helvetica" w:eastAsia="Times New Roman" w:hAnsi="Helvetica" w:cs="Times New Roman"/>
          <w:color w:val="000000"/>
          <w:sz w:val="24"/>
          <w:szCs w:val="24"/>
          <w:bdr w:val="none" w:sz="0" w:space="0" w:color="auto" w:frame="1"/>
          <w:lang w:eastAsia="en-AU"/>
        </w:rPr>
        <w:t> (Cat. no AGE 70). Canberra: Australian Institute of Health and Welfare Retrieved from</w:t>
      </w:r>
      <w:hyperlink r:id="rId10" w:tgtFrame="_blank" w:history="1">
        <w:r w:rsidRPr="00722C8D">
          <w:rPr>
            <w:rFonts w:ascii="Helvetica" w:eastAsia="Times New Roman" w:hAnsi="Helvetica" w:cs="Times New Roman"/>
            <w:color w:val="BF1819"/>
            <w:sz w:val="24"/>
            <w:szCs w:val="24"/>
            <w:u w:val="single"/>
            <w:bdr w:val="none" w:sz="0" w:space="0" w:color="auto" w:frame="1"/>
            <w:lang w:eastAsia="en-AU"/>
          </w:rPr>
          <w:t>www.aihw.gov.au/WorkArea/DownloadAsset.aspx?id=10737422943</w:t>
        </w:r>
      </w:hyperlink>
      <w:r w:rsidRPr="00722C8D">
        <w:rPr>
          <w:rFonts w:ascii="Helvetica" w:eastAsia="Times New Roman" w:hAnsi="Helvetica" w:cs="Times New Roman"/>
          <w:color w:val="000000"/>
          <w:sz w:val="24"/>
          <w:szCs w:val="24"/>
          <w:bdr w:val="none" w:sz="0" w:space="0" w:color="auto" w:frame="1"/>
          <w:lang w:eastAsia="en-AU"/>
        </w:rPr>
        <w:t>.</w:t>
      </w:r>
    </w:p>
    <w:p w14:paraId="5C82AF72" w14:textId="77777777" w:rsidR="00722C8D" w:rsidRPr="00722C8D" w:rsidRDefault="00722C8D" w:rsidP="00722C8D">
      <w:pPr>
        <w:shd w:val="clear" w:color="auto" w:fill="FFFFFF"/>
        <w:spacing w:beforeAutospacing="1" w:after="0" w:afterAutospacing="1" w:line="240" w:lineRule="auto"/>
        <w:rPr>
          <w:rFonts w:ascii="Source Sans Pro" w:eastAsia="Times New Roman" w:hAnsi="Source Sans Pro" w:cs="Times New Roman"/>
          <w:color w:val="111111"/>
          <w:sz w:val="28"/>
          <w:szCs w:val="28"/>
          <w:lang w:eastAsia="en-AU"/>
        </w:rPr>
      </w:pPr>
      <w:r w:rsidRPr="00722C8D">
        <w:rPr>
          <w:rFonts w:ascii="Source Sans Pro" w:eastAsia="Times New Roman" w:hAnsi="Source Sans Pro" w:cs="Times New Roman"/>
          <w:color w:val="111111"/>
          <w:sz w:val="28"/>
          <w:szCs w:val="28"/>
          <w:lang w:eastAsia="en-AU"/>
        </w:rPr>
        <w:t>AIHW. (2014).</w:t>
      </w:r>
      <w:r w:rsidRPr="00722C8D">
        <w:rPr>
          <w:rFonts w:ascii="Source Sans Pro" w:eastAsia="Times New Roman" w:hAnsi="Source Sans Pro" w:cs="Times New Roman"/>
          <w:i/>
          <w:iCs/>
          <w:color w:val="111111"/>
          <w:sz w:val="28"/>
          <w:szCs w:val="28"/>
          <w:bdr w:val="none" w:sz="0" w:space="0" w:color="auto" w:frame="1"/>
          <w:lang w:eastAsia="en-AU"/>
        </w:rPr>
        <w:t> Healthy life expectancy in Australia: patterns and trends 1998 to 2012</w:t>
      </w:r>
      <w:r w:rsidRPr="00722C8D">
        <w:rPr>
          <w:rFonts w:ascii="Source Sans Pro" w:eastAsia="Times New Roman" w:hAnsi="Source Sans Pro" w:cs="Times New Roman"/>
          <w:color w:val="111111"/>
          <w:sz w:val="28"/>
          <w:szCs w:val="28"/>
          <w:lang w:eastAsia="en-AU"/>
        </w:rPr>
        <w:t>. Canberra: Australian Institute of Health and Welfare Retrieved from</w:t>
      </w:r>
      <w:hyperlink r:id="rId11" w:tgtFrame="_blank" w:history="1">
        <w:r w:rsidRPr="00722C8D">
          <w:rPr>
            <w:rFonts w:ascii="Source Sans Pro" w:eastAsia="Times New Roman" w:hAnsi="Source Sans Pro" w:cs="Times New Roman"/>
            <w:color w:val="347EA4"/>
            <w:sz w:val="28"/>
            <w:szCs w:val="28"/>
            <w:u w:val="single"/>
            <w:bdr w:val="none" w:sz="0" w:space="0" w:color="auto" w:frame="1"/>
            <w:lang w:eastAsia="en-AU"/>
          </w:rPr>
          <w:t>http://www.aihw.gov.au/publication-detail/?id=60129549634</w:t>
        </w:r>
      </w:hyperlink>
      <w:r w:rsidRPr="00722C8D">
        <w:rPr>
          <w:rFonts w:ascii="Source Sans Pro" w:eastAsia="Times New Roman" w:hAnsi="Source Sans Pro" w:cs="Times New Roman"/>
          <w:color w:val="111111"/>
          <w:sz w:val="28"/>
          <w:szCs w:val="28"/>
          <w:lang w:eastAsia="en-AU"/>
        </w:rPr>
        <w:t>.</w:t>
      </w:r>
    </w:p>
    <w:p w14:paraId="1C9191EA" w14:textId="77777777" w:rsidR="00722C8D" w:rsidRPr="00722C8D" w:rsidRDefault="00722C8D" w:rsidP="00722C8D">
      <w:pPr>
        <w:shd w:val="clear" w:color="auto" w:fill="FFFFFF"/>
        <w:spacing w:beforeAutospacing="1" w:after="0" w:afterAutospacing="1" w:line="240" w:lineRule="auto"/>
        <w:rPr>
          <w:rFonts w:ascii="Source Sans Pro" w:eastAsia="Times New Roman" w:hAnsi="Source Sans Pro" w:cs="Times New Roman"/>
          <w:color w:val="111111"/>
          <w:sz w:val="24"/>
          <w:szCs w:val="24"/>
          <w:lang w:eastAsia="en-AU"/>
        </w:rPr>
      </w:pPr>
      <w:r w:rsidRPr="00722C8D">
        <w:rPr>
          <w:rFonts w:ascii="Source Sans Pro" w:eastAsia="Times New Roman" w:hAnsi="Source Sans Pro" w:cs="Times New Roman"/>
          <w:color w:val="111111"/>
          <w:sz w:val="24"/>
          <w:szCs w:val="24"/>
          <w:bdr w:val="none" w:sz="0" w:space="0" w:color="auto" w:frame="1"/>
          <w:lang w:eastAsia="en-AU"/>
        </w:rPr>
        <w:t>AIHW. (2015a)</w:t>
      </w:r>
      <w:r w:rsidRPr="00722C8D">
        <w:rPr>
          <w:rFonts w:ascii="Source Sans Pro" w:eastAsia="Times New Roman" w:hAnsi="Source Sans Pro" w:cs="Times New Roman"/>
          <w:i/>
          <w:iCs/>
          <w:color w:val="111111"/>
          <w:sz w:val="24"/>
          <w:szCs w:val="24"/>
          <w:bdr w:val="none" w:sz="0" w:space="0" w:color="auto" w:frame="1"/>
          <w:lang w:eastAsia="en-AU"/>
        </w:rPr>
        <w:t>. Australia’s welfare 2015.</w:t>
      </w:r>
      <w:r w:rsidRPr="00722C8D">
        <w:rPr>
          <w:rFonts w:ascii="Source Sans Pro" w:eastAsia="Times New Roman" w:hAnsi="Source Sans Pro" w:cs="Times New Roman"/>
          <w:color w:val="111111"/>
          <w:sz w:val="24"/>
          <w:szCs w:val="24"/>
          <w:bdr w:val="none" w:sz="0" w:space="0" w:color="auto" w:frame="1"/>
          <w:lang w:eastAsia="en-AU"/>
        </w:rPr>
        <w:t> Canberra: AIHW Retrieved from</w:t>
      </w:r>
      <w:hyperlink r:id="rId12" w:tgtFrame="_blank" w:history="1">
        <w:r w:rsidRPr="00722C8D">
          <w:rPr>
            <w:rFonts w:ascii="Source Sans Pro" w:eastAsia="Times New Roman" w:hAnsi="Source Sans Pro" w:cs="Times New Roman"/>
            <w:color w:val="1A1A1A"/>
            <w:sz w:val="24"/>
            <w:szCs w:val="24"/>
            <w:u w:val="single"/>
            <w:bdr w:val="none" w:sz="0" w:space="0" w:color="auto" w:frame="1"/>
            <w:lang w:eastAsia="en-AU"/>
          </w:rPr>
          <w:t> http://www.aihw.gov.au/WorkArea/DownloadAsset.aspx?id=60129555153</w:t>
        </w:r>
      </w:hyperlink>
      <w:r w:rsidRPr="00722C8D">
        <w:rPr>
          <w:rFonts w:ascii="Source Sans Pro" w:eastAsia="Times New Roman" w:hAnsi="Source Sans Pro" w:cs="Times New Roman"/>
          <w:color w:val="111111"/>
          <w:sz w:val="24"/>
          <w:szCs w:val="24"/>
          <w:bdr w:val="none" w:sz="0" w:space="0" w:color="auto" w:frame="1"/>
          <w:lang w:eastAsia="en-AU"/>
        </w:rPr>
        <w:t>.</w:t>
      </w:r>
    </w:p>
    <w:p w14:paraId="17978E42" w14:textId="77777777" w:rsidR="00722C8D" w:rsidRPr="00722C8D" w:rsidRDefault="00722C8D" w:rsidP="00722C8D">
      <w:pPr>
        <w:shd w:val="clear" w:color="auto" w:fill="FFFFFF"/>
        <w:spacing w:beforeAutospacing="1" w:after="0" w:afterAutospacing="1" w:line="240" w:lineRule="auto"/>
        <w:rPr>
          <w:rFonts w:ascii="Source Sans Pro" w:eastAsia="Times New Roman" w:hAnsi="Source Sans Pro" w:cs="Times New Roman"/>
          <w:color w:val="111111"/>
          <w:sz w:val="28"/>
          <w:szCs w:val="28"/>
          <w:lang w:eastAsia="en-AU"/>
        </w:rPr>
      </w:pPr>
      <w:r w:rsidRPr="00722C8D">
        <w:rPr>
          <w:rFonts w:ascii="Source Sans Pro" w:eastAsia="Times New Roman" w:hAnsi="Source Sans Pro" w:cs="Times New Roman"/>
          <w:color w:val="111111"/>
          <w:sz w:val="28"/>
          <w:szCs w:val="28"/>
          <w:lang w:eastAsia="en-AU"/>
        </w:rPr>
        <w:t>AIHW (Producer). (2017).</w:t>
      </w:r>
      <w:r w:rsidRPr="00722C8D">
        <w:rPr>
          <w:rFonts w:ascii="Source Sans Pro" w:eastAsia="Times New Roman" w:hAnsi="Source Sans Pro" w:cs="Times New Roman"/>
          <w:i/>
          <w:iCs/>
          <w:color w:val="111111"/>
          <w:sz w:val="28"/>
          <w:szCs w:val="28"/>
          <w:bdr w:val="none" w:sz="0" w:space="0" w:color="auto" w:frame="1"/>
          <w:lang w:eastAsia="en-AU"/>
        </w:rPr>
        <w:t> Older Australia at a glance</w:t>
      </w:r>
      <w:r w:rsidRPr="00722C8D">
        <w:rPr>
          <w:rFonts w:ascii="Source Sans Pro" w:eastAsia="Times New Roman" w:hAnsi="Source Sans Pro" w:cs="Times New Roman"/>
          <w:color w:val="111111"/>
          <w:sz w:val="28"/>
          <w:szCs w:val="28"/>
          <w:lang w:eastAsia="en-AU"/>
        </w:rPr>
        <w:t>. Retrieved from</w:t>
      </w:r>
      <w:hyperlink r:id="rId13" w:tgtFrame="_blank" w:history="1">
        <w:r w:rsidRPr="00722C8D">
          <w:rPr>
            <w:rFonts w:ascii="Source Sans Pro" w:eastAsia="Times New Roman" w:hAnsi="Source Sans Pro" w:cs="Times New Roman"/>
            <w:color w:val="347EA4"/>
            <w:sz w:val="28"/>
            <w:szCs w:val="28"/>
            <w:u w:val="single"/>
            <w:bdr w:val="none" w:sz="0" w:space="0" w:color="auto" w:frame="1"/>
            <w:lang w:eastAsia="en-AU"/>
          </w:rPr>
          <w:t> http://www.aihw.gov.au/ageing/older-australia-at-a-glance/</w:t>
        </w:r>
      </w:hyperlink>
    </w:p>
    <w:p w14:paraId="2C39420F" w14:textId="77777777" w:rsidR="00722C8D" w:rsidRPr="00722C8D" w:rsidRDefault="00722C8D" w:rsidP="00722C8D">
      <w:pPr>
        <w:shd w:val="clear" w:color="auto" w:fill="FFFFFF"/>
        <w:spacing w:beforeAutospacing="1" w:after="0" w:afterAutospacing="1" w:line="240" w:lineRule="auto"/>
        <w:rPr>
          <w:rFonts w:ascii="Source Sans Pro" w:eastAsia="Times New Roman" w:hAnsi="Source Sans Pro" w:cs="Times New Roman"/>
          <w:color w:val="111111"/>
          <w:sz w:val="24"/>
          <w:szCs w:val="24"/>
          <w:lang w:eastAsia="en-AU"/>
        </w:rPr>
      </w:pPr>
      <w:r w:rsidRPr="00722C8D">
        <w:rPr>
          <w:rFonts w:ascii="Source Sans Pro" w:eastAsia="Times New Roman" w:hAnsi="Source Sans Pro" w:cs="Times New Roman"/>
          <w:color w:val="111111"/>
          <w:sz w:val="24"/>
          <w:szCs w:val="24"/>
          <w:lang w:eastAsia="en-AU"/>
        </w:rPr>
        <w:t>The Treasury. (2015). </w:t>
      </w:r>
      <w:hyperlink r:id="rId14" w:tgtFrame="_blank" w:history="1">
        <w:r w:rsidRPr="00722C8D">
          <w:rPr>
            <w:rFonts w:ascii="Source Sans Pro" w:eastAsia="Times New Roman" w:hAnsi="Source Sans Pro" w:cs="Times New Roman"/>
            <w:i/>
            <w:iCs/>
            <w:color w:val="347EA4"/>
            <w:sz w:val="24"/>
            <w:szCs w:val="24"/>
            <w:u w:val="single"/>
            <w:bdr w:val="none" w:sz="0" w:space="0" w:color="auto" w:frame="1"/>
            <w:lang w:eastAsia="en-AU"/>
          </w:rPr>
          <w:t>2015 Intergenerational Report: Australia in 2055</w:t>
        </w:r>
      </w:hyperlink>
    </w:p>
    <w:p w14:paraId="2BA80940" w14:textId="77777777" w:rsidR="00722C8D" w:rsidRPr="00B129A1" w:rsidRDefault="00722C8D" w:rsidP="00722C8D">
      <w:pPr>
        <w:spacing w:before="100" w:beforeAutospacing="1" w:after="100" w:afterAutospacing="1" w:line="240" w:lineRule="auto"/>
        <w:ind w:left="360"/>
        <w:rPr>
          <w:sz w:val="24"/>
          <w:szCs w:val="24"/>
        </w:rPr>
      </w:pPr>
      <w:r w:rsidRPr="00B129A1">
        <w:rPr>
          <w:rFonts w:ascii="Source Sans Pro" w:eastAsia="Times New Roman" w:hAnsi="Source Sans Pro" w:cs="Times New Roman"/>
          <w:i/>
          <w:iCs/>
          <w:color w:val="111111"/>
          <w:sz w:val="24"/>
          <w:szCs w:val="24"/>
          <w:bdr w:val="none" w:sz="0" w:space="0" w:color="auto" w:frame="1"/>
          <w:shd w:val="clear" w:color="auto" w:fill="FFFFFF"/>
          <w:lang w:eastAsia="en-AU"/>
        </w:rPr>
        <w:t> .</w:t>
      </w:r>
      <w:r w:rsidRPr="00B129A1">
        <w:rPr>
          <w:rFonts w:ascii="Source Sans Pro" w:eastAsia="Times New Roman" w:hAnsi="Source Sans Pro" w:cs="Times New Roman"/>
          <w:color w:val="111111"/>
          <w:sz w:val="24"/>
          <w:szCs w:val="24"/>
          <w:shd w:val="clear" w:color="auto" w:fill="FFFFFF"/>
          <w:lang w:eastAsia="en-AU"/>
        </w:rPr>
        <w:t> Canberra: Commonwealth of Australia. Creative Commons by attribution 3.0 Australia licence Retrieved from  </w:t>
      </w:r>
      <w:hyperlink r:id="rId15" w:tgtFrame="_blank" w:history="1">
        <w:r w:rsidRPr="00B129A1">
          <w:rPr>
            <w:rFonts w:ascii="Source Sans Pro" w:eastAsia="Times New Roman" w:hAnsi="Source Sans Pro" w:cs="Times New Roman"/>
            <w:color w:val="347EA4"/>
            <w:sz w:val="24"/>
            <w:szCs w:val="24"/>
            <w:u w:val="single"/>
            <w:bdr w:val="none" w:sz="0" w:space="0" w:color="auto" w:frame="1"/>
            <w:shd w:val="clear" w:color="auto" w:fill="FFFFFF"/>
            <w:lang w:eastAsia="en-AU"/>
          </w:rPr>
          <w:t>http://treasury.gov.au/PublicationsAndMedia/Publications/2015/2015-Intergenerational-Report</w:t>
        </w:r>
      </w:hyperlink>
      <w:r w:rsidRPr="00B129A1">
        <w:rPr>
          <w:rFonts w:ascii="Source Sans Pro" w:eastAsia="Times New Roman" w:hAnsi="Source Sans Pro" w:cs="Times New Roman"/>
          <w:color w:val="111111"/>
          <w:sz w:val="24"/>
          <w:szCs w:val="24"/>
          <w:shd w:val="clear" w:color="auto" w:fill="FFFFFF"/>
          <w:lang w:eastAsia="en-AU"/>
        </w:rPr>
        <w:t>.</w:t>
      </w:r>
    </w:p>
    <w:p w14:paraId="6877A0E2" w14:textId="77777777" w:rsidR="00722C8D" w:rsidRDefault="00722C8D" w:rsidP="008B2D00">
      <w:pPr>
        <w:spacing w:before="100" w:beforeAutospacing="1" w:after="100" w:afterAutospacing="1" w:line="240" w:lineRule="auto"/>
        <w:ind w:left="360"/>
        <w:rPr>
          <w:rFonts w:ascii="Helvetica" w:hAnsi="Helvetica"/>
          <w:color w:val="000000"/>
          <w:sz w:val="20"/>
          <w:szCs w:val="20"/>
          <w:bdr w:val="none" w:sz="0" w:space="0" w:color="auto" w:frame="1"/>
          <w:shd w:val="clear" w:color="auto" w:fill="FFFFFF"/>
        </w:rPr>
      </w:pPr>
    </w:p>
    <w:p w14:paraId="5063E6A0" w14:textId="77777777" w:rsidR="00300FB1" w:rsidRDefault="00300FB1" w:rsidP="008B2D00">
      <w:pPr>
        <w:spacing w:before="100" w:beforeAutospacing="1" w:after="100" w:afterAutospacing="1" w:line="240" w:lineRule="auto"/>
        <w:ind w:left="360"/>
        <w:rPr>
          <w:rFonts w:ascii="Source Sans Pro" w:eastAsia="Times New Roman" w:hAnsi="Source Sans Pro" w:cs="Times New Roman"/>
          <w:b/>
          <w:color w:val="000000"/>
          <w:sz w:val="27"/>
          <w:szCs w:val="27"/>
          <w:u w:val="single"/>
          <w:lang w:eastAsia="en-AU"/>
        </w:rPr>
      </w:pPr>
    </w:p>
    <w:p w14:paraId="239370E0" w14:textId="77777777" w:rsidR="008B2D00" w:rsidRPr="008B2D00" w:rsidRDefault="008B2D00" w:rsidP="008B2D00">
      <w:pPr>
        <w:spacing w:before="100" w:beforeAutospacing="1" w:after="100" w:afterAutospacing="1" w:line="240" w:lineRule="auto"/>
        <w:ind w:left="360"/>
        <w:rPr>
          <w:rFonts w:ascii="Source Sans Pro" w:eastAsia="Times New Roman" w:hAnsi="Source Sans Pro" w:cs="Times New Roman"/>
          <w:color w:val="000000"/>
          <w:sz w:val="27"/>
          <w:szCs w:val="27"/>
          <w:lang w:eastAsia="en-AU"/>
        </w:rPr>
      </w:pPr>
    </w:p>
    <w:p w14:paraId="6A5E18AA" w14:textId="77777777" w:rsidR="00F02D1D" w:rsidRPr="00F02D1D" w:rsidRDefault="00F02D1D" w:rsidP="00F02D1D"/>
    <w:p w14:paraId="36E5230D" w14:textId="77777777" w:rsidR="0020128C" w:rsidRDefault="00601F88"/>
    <w:sectPr w:rsidR="00201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17F"/>
    <w:multiLevelType w:val="multilevel"/>
    <w:tmpl w:val="341A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72B31"/>
    <w:multiLevelType w:val="hybridMultilevel"/>
    <w:tmpl w:val="71CC4140"/>
    <w:lvl w:ilvl="0" w:tplc="DCE6F6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1D"/>
    <w:rsid w:val="00300FB1"/>
    <w:rsid w:val="005A34A7"/>
    <w:rsid w:val="00601F88"/>
    <w:rsid w:val="0071391B"/>
    <w:rsid w:val="00722C8D"/>
    <w:rsid w:val="00844447"/>
    <w:rsid w:val="008B2D00"/>
    <w:rsid w:val="00916CAB"/>
    <w:rsid w:val="00A406D8"/>
    <w:rsid w:val="00A46384"/>
    <w:rsid w:val="00AA385A"/>
    <w:rsid w:val="00AB13C3"/>
    <w:rsid w:val="00B129A1"/>
    <w:rsid w:val="00D8744D"/>
    <w:rsid w:val="00EC67DD"/>
    <w:rsid w:val="00F02D1D"/>
    <w:rsid w:val="00F1568E"/>
    <w:rsid w:val="00F22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14C9"/>
  <w15:chartTrackingRefBased/>
  <w15:docId w15:val="{945C8151-A257-456C-B389-2B8606CD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1D"/>
  </w:style>
  <w:style w:type="paragraph" w:styleId="Heading1">
    <w:name w:val="heading 1"/>
    <w:basedOn w:val="Normal"/>
    <w:next w:val="Normal"/>
    <w:link w:val="Heading1Char"/>
    <w:uiPriority w:val="9"/>
    <w:qFormat/>
    <w:rsid w:val="008B2D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F02D1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02D1D"/>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02D1D"/>
    <w:rPr>
      <w:b/>
      <w:bCs/>
    </w:rPr>
  </w:style>
  <w:style w:type="paragraph" w:styleId="NormalWeb">
    <w:name w:val="Normal (Web)"/>
    <w:basedOn w:val="Normal"/>
    <w:uiPriority w:val="99"/>
    <w:semiHidden/>
    <w:unhideWhenUsed/>
    <w:rsid w:val="00F02D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02D1D"/>
    <w:rPr>
      <w:i/>
      <w:iCs/>
    </w:rPr>
  </w:style>
  <w:style w:type="paragraph" w:styleId="ListParagraph">
    <w:name w:val="List Paragraph"/>
    <w:basedOn w:val="Normal"/>
    <w:uiPriority w:val="34"/>
    <w:qFormat/>
    <w:rsid w:val="00F02D1D"/>
    <w:pPr>
      <w:ind w:left="720"/>
      <w:contextualSpacing/>
    </w:pPr>
  </w:style>
  <w:style w:type="character" w:customStyle="1" w:styleId="Heading1Char">
    <w:name w:val="Heading 1 Char"/>
    <w:basedOn w:val="DefaultParagraphFont"/>
    <w:link w:val="Heading1"/>
    <w:uiPriority w:val="9"/>
    <w:rsid w:val="008B2D00"/>
    <w:rPr>
      <w:rFonts w:asciiTheme="majorHAnsi" w:eastAsiaTheme="majorEastAsia" w:hAnsiTheme="majorHAnsi" w:cstheme="majorBidi"/>
      <w:color w:val="2F5496" w:themeColor="accent1" w:themeShade="BF"/>
      <w:sz w:val="32"/>
      <w:szCs w:val="32"/>
    </w:rPr>
  </w:style>
  <w:style w:type="character" w:customStyle="1" w:styleId="ng-binding">
    <w:name w:val="ng-binding"/>
    <w:basedOn w:val="DefaultParagraphFont"/>
    <w:rsid w:val="008B2D00"/>
  </w:style>
  <w:style w:type="character" w:customStyle="1" w:styleId="last-name">
    <w:name w:val="last-name"/>
    <w:basedOn w:val="DefaultParagraphFont"/>
    <w:rsid w:val="008B2D00"/>
  </w:style>
  <w:style w:type="character" w:customStyle="1" w:styleId="media-first-page">
    <w:name w:val="media-first-page"/>
    <w:basedOn w:val="DefaultParagraphFont"/>
    <w:rsid w:val="008B2D00"/>
  </w:style>
  <w:style w:type="character" w:styleId="Hyperlink">
    <w:name w:val="Hyperlink"/>
    <w:basedOn w:val="DefaultParagraphFont"/>
    <w:uiPriority w:val="99"/>
    <w:semiHidden/>
    <w:unhideWhenUsed/>
    <w:rsid w:val="00844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74127">
      <w:bodyDiv w:val="1"/>
      <w:marLeft w:val="0"/>
      <w:marRight w:val="0"/>
      <w:marTop w:val="0"/>
      <w:marBottom w:val="0"/>
      <w:divBdr>
        <w:top w:val="none" w:sz="0" w:space="0" w:color="auto"/>
        <w:left w:val="none" w:sz="0" w:space="0" w:color="auto"/>
        <w:bottom w:val="none" w:sz="0" w:space="0" w:color="auto"/>
        <w:right w:val="none" w:sz="0" w:space="0" w:color="auto"/>
      </w:divBdr>
    </w:div>
    <w:div w:id="941185217">
      <w:bodyDiv w:val="1"/>
      <w:marLeft w:val="0"/>
      <w:marRight w:val="0"/>
      <w:marTop w:val="0"/>
      <w:marBottom w:val="0"/>
      <w:divBdr>
        <w:top w:val="none" w:sz="0" w:space="0" w:color="auto"/>
        <w:left w:val="none" w:sz="0" w:space="0" w:color="auto"/>
        <w:bottom w:val="none" w:sz="0" w:space="0" w:color="auto"/>
        <w:right w:val="none" w:sz="0" w:space="0" w:color="auto"/>
      </w:divBdr>
    </w:div>
    <w:div w:id="1626813925">
      <w:bodyDiv w:val="1"/>
      <w:marLeft w:val="0"/>
      <w:marRight w:val="0"/>
      <w:marTop w:val="0"/>
      <w:marBottom w:val="0"/>
      <w:divBdr>
        <w:top w:val="none" w:sz="0" w:space="0" w:color="auto"/>
        <w:left w:val="none" w:sz="0" w:space="0" w:color="auto"/>
        <w:bottom w:val="none" w:sz="0" w:space="0" w:color="auto"/>
        <w:right w:val="none" w:sz="0" w:space="0" w:color="auto"/>
      </w:divBdr>
      <w:divsChild>
        <w:div w:id="825361497">
          <w:marLeft w:val="0"/>
          <w:marRight w:val="0"/>
          <w:marTop w:val="0"/>
          <w:marBottom w:val="0"/>
          <w:divBdr>
            <w:top w:val="none" w:sz="0" w:space="0" w:color="auto"/>
            <w:left w:val="none" w:sz="0" w:space="0" w:color="auto"/>
            <w:bottom w:val="none" w:sz="0" w:space="0" w:color="auto"/>
            <w:right w:val="none" w:sz="0" w:space="0" w:color="auto"/>
          </w:divBdr>
        </w:div>
        <w:div w:id="973365117">
          <w:marLeft w:val="0"/>
          <w:marRight w:val="0"/>
          <w:marTop w:val="0"/>
          <w:marBottom w:val="0"/>
          <w:divBdr>
            <w:top w:val="none" w:sz="0" w:space="0" w:color="auto"/>
            <w:left w:val="none" w:sz="0" w:space="0" w:color="auto"/>
            <w:bottom w:val="none" w:sz="0" w:space="0" w:color="auto"/>
            <w:right w:val="none" w:sz="0" w:space="0" w:color="auto"/>
          </w:divBdr>
          <w:divsChild>
            <w:div w:id="1084573530">
              <w:marLeft w:val="0"/>
              <w:marRight w:val="150"/>
              <w:marTop w:val="0"/>
              <w:marBottom w:val="0"/>
              <w:divBdr>
                <w:top w:val="none" w:sz="0" w:space="0" w:color="auto"/>
                <w:left w:val="none" w:sz="0" w:space="0" w:color="auto"/>
                <w:bottom w:val="none" w:sz="0" w:space="0" w:color="auto"/>
                <w:right w:val="none" w:sz="0" w:space="0" w:color="auto"/>
              </w:divBdr>
            </w:div>
            <w:div w:id="1549224443">
              <w:marLeft w:val="0"/>
              <w:marRight w:val="0"/>
              <w:marTop w:val="0"/>
              <w:marBottom w:val="0"/>
              <w:divBdr>
                <w:top w:val="none" w:sz="0" w:space="0" w:color="auto"/>
                <w:left w:val="none" w:sz="0" w:space="0" w:color="auto"/>
                <w:bottom w:val="none" w:sz="0" w:space="0" w:color="auto"/>
                <w:right w:val="none" w:sz="0" w:space="0" w:color="auto"/>
              </w:divBdr>
            </w:div>
          </w:divsChild>
        </w:div>
        <w:div w:id="1071347686">
          <w:marLeft w:val="0"/>
          <w:marRight w:val="0"/>
          <w:marTop w:val="0"/>
          <w:marBottom w:val="0"/>
          <w:divBdr>
            <w:top w:val="none" w:sz="0" w:space="0" w:color="auto"/>
            <w:left w:val="none" w:sz="0" w:space="0" w:color="auto"/>
            <w:bottom w:val="none" w:sz="0" w:space="0" w:color="auto"/>
            <w:right w:val="none" w:sz="0" w:space="0" w:color="auto"/>
          </w:divBdr>
          <w:divsChild>
            <w:div w:id="1957059266">
              <w:marLeft w:val="0"/>
              <w:marRight w:val="150"/>
              <w:marTop w:val="0"/>
              <w:marBottom w:val="0"/>
              <w:divBdr>
                <w:top w:val="none" w:sz="0" w:space="0" w:color="auto"/>
                <w:left w:val="none" w:sz="0" w:space="0" w:color="auto"/>
                <w:bottom w:val="none" w:sz="0" w:space="0" w:color="auto"/>
                <w:right w:val="none" w:sz="0" w:space="0" w:color="auto"/>
              </w:divBdr>
            </w:div>
            <w:div w:id="1450050181">
              <w:marLeft w:val="0"/>
              <w:marRight w:val="0"/>
              <w:marTop w:val="0"/>
              <w:marBottom w:val="0"/>
              <w:divBdr>
                <w:top w:val="none" w:sz="0" w:space="0" w:color="auto"/>
                <w:left w:val="none" w:sz="0" w:space="0" w:color="auto"/>
                <w:bottom w:val="none" w:sz="0" w:space="0" w:color="auto"/>
                <w:right w:val="none" w:sz="0" w:space="0" w:color="auto"/>
              </w:divBdr>
            </w:div>
          </w:divsChild>
        </w:div>
        <w:div w:id="1756129681">
          <w:marLeft w:val="0"/>
          <w:marRight w:val="0"/>
          <w:marTop w:val="0"/>
          <w:marBottom w:val="0"/>
          <w:divBdr>
            <w:top w:val="none" w:sz="0" w:space="0" w:color="auto"/>
            <w:left w:val="none" w:sz="0" w:space="0" w:color="auto"/>
            <w:bottom w:val="none" w:sz="0" w:space="0" w:color="auto"/>
            <w:right w:val="none" w:sz="0" w:space="0" w:color="auto"/>
          </w:divBdr>
          <w:divsChild>
            <w:div w:id="1765300954">
              <w:marLeft w:val="0"/>
              <w:marRight w:val="150"/>
              <w:marTop w:val="0"/>
              <w:marBottom w:val="0"/>
              <w:divBdr>
                <w:top w:val="none" w:sz="0" w:space="0" w:color="auto"/>
                <w:left w:val="none" w:sz="0" w:space="0" w:color="auto"/>
                <w:bottom w:val="none" w:sz="0" w:space="0" w:color="auto"/>
                <w:right w:val="none" w:sz="0" w:space="0" w:color="auto"/>
              </w:divBdr>
            </w:div>
            <w:div w:id="1841967694">
              <w:marLeft w:val="0"/>
              <w:marRight w:val="0"/>
              <w:marTop w:val="0"/>
              <w:marBottom w:val="0"/>
              <w:divBdr>
                <w:top w:val="none" w:sz="0" w:space="0" w:color="auto"/>
                <w:left w:val="none" w:sz="0" w:space="0" w:color="auto"/>
                <w:bottom w:val="none" w:sz="0" w:space="0" w:color="auto"/>
                <w:right w:val="none" w:sz="0" w:space="0" w:color="auto"/>
              </w:divBdr>
            </w:div>
          </w:divsChild>
        </w:div>
        <w:div w:id="193808930">
          <w:marLeft w:val="0"/>
          <w:marRight w:val="0"/>
          <w:marTop w:val="0"/>
          <w:marBottom w:val="0"/>
          <w:divBdr>
            <w:top w:val="none" w:sz="0" w:space="0" w:color="auto"/>
            <w:left w:val="none" w:sz="0" w:space="0" w:color="auto"/>
            <w:bottom w:val="none" w:sz="0" w:space="0" w:color="auto"/>
            <w:right w:val="none" w:sz="0" w:space="0" w:color="auto"/>
          </w:divBdr>
          <w:divsChild>
            <w:div w:id="295569007">
              <w:marLeft w:val="0"/>
              <w:marRight w:val="150"/>
              <w:marTop w:val="0"/>
              <w:marBottom w:val="0"/>
              <w:divBdr>
                <w:top w:val="none" w:sz="0" w:space="0" w:color="auto"/>
                <w:left w:val="none" w:sz="0" w:space="0" w:color="auto"/>
                <w:bottom w:val="none" w:sz="0" w:space="0" w:color="auto"/>
                <w:right w:val="none" w:sz="0" w:space="0" w:color="auto"/>
              </w:divBdr>
            </w:div>
            <w:div w:id="1811821528">
              <w:marLeft w:val="0"/>
              <w:marRight w:val="0"/>
              <w:marTop w:val="0"/>
              <w:marBottom w:val="0"/>
              <w:divBdr>
                <w:top w:val="none" w:sz="0" w:space="0" w:color="auto"/>
                <w:left w:val="none" w:sz="0" w:space="0" w:color="auto"/>
                <w:bottom w:val="none" w:sz="0" w:space="0" w:color="auto"/>
                <w:right w:val="none" w:sz="0" w:space="0" w:color="auto"/>
              </w:divBdr>
            </w:div>
          </w:divsChild>
        </w:div>
        <w:div w:id="980378347">
          <w:marLeft w:val="0"/>
          <w:marRight w:val="0"/>
          <w:marTop w:val="0"/>
          <w:marBottom w:val="0"/>
          <w:divBdr>
            <w:top w:val="none" w:sz="0" w:space="0" w:color="auto"/>
            <w:left w:val="none" w:sz="0" w:space="0" w:color="auto"/>
            <w:bottom w:val="none" w:sz="0" w:space="0" w:color="auto"/>
            <w:right w:val="none" w:sz="0" w:space="0" w:color="auto"/>
          </w:divBdr>
          <w:divsChild>
            <w:div w:id="187573649">
              <w:marLeft w:val="0"/>
              <w:marRight w:val="48"/>
              <w:marTop w:val="0"/>
              <w:marBottom w:val="0"/>
              <w:divBdr>
                <w:top w:val="none" w:sz="0" w:space="0" w:color="auto"/>
                <w:left w:val="none" w:sz="0" w:space="0" w:color="auto"/>
                <w:bottom w:val="none" w:sz="0" w:space="0" w:color="auto"/>
                <w:right w:val="none" w:sz="0" w:space="0" w:color="auto"/>
              </w:divBdr>
            </w:div>
            <w:div w:id="894894531">
              <w:marLeft w:val="0"/>
              <w:marRight w:val="0"/>
              <w:marTop w:val="0"/>
              <w:marBottom w:val="0"/>
              <w:divBdr>
                <w:top w:val="none" w:sz="0" w:space="0" w:color="auto"/>
                <w:left w:val="none" w:sz="0" w:space="0" w:color="auto"/>
                <w:bottom w:val="none" w:sz="0" w:space="0" w:color="auto"/>
                <w:right w:val="none" w:sz="0" w:space="0" w:color="auto"/>
              </w:divBdr>
            </w:div>
            <w:div w:id="339891664">
              <w:marLeft w:val="0"/>
              <w:marRight w:val="48"/>
              <w:marTop w:val="0"/>
              <w:marBottom w:val="0"/>
              <w:divBdr>
                <w:top w:val="none" w:sz="0" w:space="0" w:color="auto"/>
                <w:left w:val="none" w:sz="0" w:space="0" w:color="auto"/>
                <w:bottom w:val="none" w:sz="0" w:space="0" w:color="auto"/>
                <w:right w:val="none" w:sz="0" w:space="0" w:color="auto"/>
              </w:divBdr>
            </w:div>
            <w:div w:id="1027103241">
              <w:marLeft w:val="0"/>
              <w:marRight w:val="0"/>
              <w:marTop w:val="0"/>
              <w:marBottom w:val="0"/>
              <w:divBdr>
                <w:top w:val="none" w:sz="0" w:space="0" w:color="auto"/>
                <w:left w:val="none" w:sz="0" w:space="0" w:color="auto"/>
                <w:bottom w:val="none" w:sz="0" w:space="0" w:color="auto"/>
                <w:right w:val="none" w:sz="0" w:space="0" w:color="auto"/>
              </w:divBdr>
            </w:div>
          </w:divsChild>
        </w:div>
        <w:div w:id="281305981">
          <w:marLeft w:val="0"/>
          <w:marRight w:val="0"/>
          <w:marTop w:val="0"/>
          <w:marBottom w:val="0"/>
          <w:divBdr>
            <w:top w:val="none" w:sz="0" w:space="0" w:color="auto"/>
            <w:left w:val="none" w:sz="0" w:space="0" w:color="auto"/>
            <w:bottom w:val="none" w:sz="0" w:space="0" w:color="auto"/>
            <w:right w:val="none" w:sz="0" w:space="0" w:color="auto"/>
          </w:divBdr>
          <w:divsChild>
            <w:div w:id="1792431690">
              <w:marLeft w:val="0"/>
              <w:marRight w:val="150"/>
              <w:marTop w:val="0"/>
              <w:marBottom w:val="0"/>
              <w:divBdr>
                <w:top w:val="none" w:sz="0" w:space="0" w:color="auto"/>
                <w:left w:val="none" w:sz="0" w:space="0" w:color="auto"/>
                <w:bottom w:val="none" w:sz="0" w:space="0" w:color="auto"/>
                <w:right w:val="none" w:sz="0" w:space="0" w:color="auto"/>
              </w:divBdr>
            </w:div>
            <w:div w:id="1694526302">
              <w:marLeft w:val="0"/>
              <w:marRight w:val="0"/>
              <w:marTop w:val="0"/>
              <w:marBottom w:val="0"/>
              <w:divBdr>
                <w:top w:val="none" w:sz="0" w:space="0" w:color="auto"/>
                <w:left w:val="none" w:sz="0" w:space="0" w:color="auto"/>
                <w:bottom w:val="none" w:sz="0" w:space="0" w:color="auto"/>
                <w:right w:val="none" w:sz="0" w:space="0" w:color="auto"/>
              </w:divBdr>
            </w:div>
          </w:divsChild>
        </w:div>
        <w:div w:id="1385519277">
          <w:marLeft w:val="0"/>
          <w:marRight w:val="0"/>
          <w:marTop w:val="0"/>
          <w:marBottom w:val="0"/>
          <w:divBdr>
            <w:top w:val="none" w:sz="0" w:space="0" w:color="auto"/>
            <w:left w:val="none" w:sz="0" w:space="0" w:color="auto"/>
            <w:bottom w:val="none" w:sz="0" w:space="0" w:color="auto"/>
            <w:right w:val="none" w:sz="0" w:space="0" w:color="auto"/>
          </w:divBdr>
          <w:divsChild>
            <w:div w:id="1755472365">
              <w:marLeft w:val="0"/>
              <w:marRight w:val="150"/>
              <w:marTop w:val="0"/>
              <w:marBottom w:val="0"/>
              <w:divBdr>
                <w:top w:val="none" w:sz="0" w:space="0" w:color="auto"/>
                <w:left w:val="none" w:sz="0" w:space="0" w:color="auto"/>
                <w:bottom w:val="none" w:sz="0" w:space="0" w:color="auto"/>
                <w:right w:val="none" w:sz="0" w:space="0" w:color="auto"/>
              </w:divBdr>
            </w:div>
            <w:div w:id="1992513017">
              <w:marLeft w:val="0"/>
              <w:marRight w:val="0"/>
              <w:marTop w:val="0"/>
              <w:marBottom w:val="0"/>
              <w:divBdr>
                <w:top w:val="none" w:sz="0" w:space="0" w:color="auto"/>
                <w:left w:val="none" w:sz="0" w:space="0" w:color="auto"/>
                <w:bottom w:val="none" w:sz="0" w:space="0" w:color="auto"/>
                <w:right w:val="none" w:sz="0" w:space="0" w:color="auto"/>
              </w:divBdr>
            </w:div>
          </w:divsChild>
        </w:div>
        <w:div w:id="1137802324">
          <w:marLeft w:val="0"/>
          <w:marRight w:val="0"/>
          <w:marTop w:val="0"/>
          <w:marBottom w:val="0"/>
          <w:divBdr>
            <w:top w:val="none" w:sz="0" w:space="0" w:color="auto"/>
            <w:left w:val="none" w:sz="0" w:space="0" w:color="auto"/>
            <w:bottom w:val="none" w:sz="0" w:space="0" w:color="auto"/>
            <w:right w:val="none" w:sz="0" w:space="0" w:color="auto"/>
          </w:divBdr>
          <w:divsChild>
            <w:div w:id="174006904">
              <w:marLeft w:val="0"/>
              <w:marRight w:val="150"/>
              <w:marTop w:val="0"/>
              <w:marBottom w:val="0"/>
              <w:divBdr>
                <w:top w:val="none" w:sz="0" w:space="0" w:color="auto"/>
                <w:left w:val="none" w:sz="0" w:space="0" w:color="auto"/>
                <w:bottom w:val="none" w:sz="0" w:space="0" w:color="auto"/>
                <w:right w:val="none" w:sz="0" w:space="0" w:color="auto"/>
              </w:divBdr>
            </w:div>
            <w:div w:id="19728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3676">
      <w:bodyDiv w:val="1"/>
      <w:marLeft w:val="0"/>
      <w:marRight w:val="0"/>
      <w:marTop w:val="0"/>
      <w:marBottom w:val="0"/>
      <w:divBdr>
        <w:top w:val="none" w:sz="0" w:space="0" w:color="auto"/>
        <w:left w:val="none" w:sz="0" w:space="0" w:color="auto"/>
        <w:bottom w:val="none" w:sz="0" w:space="0" w:color="auto"/>
        <w:right w:val="none" w:sz="0" w:space="0" w:color="auto"/>
      </w:divBdr>
    </w:div>
    <w:div w:id="1983267107">
      <w:bodyDiv w:val="1"/>
      <w:marLeft w:val="0"/>
      <w:marRight w:val="0"/>
      <w:marTop w:val="0"/>
      <w:marBottom w:val="0"/>
      <w:divBdr>
        <w:top w:val="none" w:sz="0" w:space="0" w:color="auto"/>
        <w:left w:val="none" w:sz="0" w:space="0" w:color="auto"/>
        <w:bottom w:val="none" w:sz="0" w:space="0" w:color="auto"/>
        <w:right w:val="none" w:sz="0" w:space="0" w:color="auto"/>
      </w:divBdr>
    </w:div>
    <w:div w:id="201510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ondblue.org.au/who-does-it-affect/older-people/have-the-conversation-with-older-people" TargetMode="External"/><Relationship Id="rId13" Type="http://schemas.openxmlformats.org/officeDocument/2006/relationships/hyperlink" Target="http://www.aihw.gov.au/ageing/older-australia-at-a-glance/" TargetMode="External"/><Relationship Id="rId3" Type="http://schemas.openxmlformats.org/officeDocument/2006/relationships/settings" Target="settings.xml"/><Relationship Id="rId7" Type="http://schemas.openxmlformats.org/officeDocument/2006/relationships/hyperlink" Target="https://www.researchgate.net/publication/281604080_Becoming_a_wise_old_woman_Resilience_and_wellness_in_later_life" TargetMode="External"/><Relationship Id="rId12" Type="http://schemas.openxmlformats.org/officeDocument/2006/relationships/hyperlink" Target="http://www.aihw.gov.au/WorkArea/DownloadAsset.aspx?id=601295551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xtranet.who.int/agefriendlyworld/age-friendly-practices/" TargetMode="External"/><Relationship Id="rId11" Type="http://schemas.openxmlformats.org/officeDocument/2006/relationships/hyperlink" Target="http://www.aihw.gov.au/publication-detail/?id=60129549634" TargetMode="External"/><Relationship Id="rId5" Type="http://schemas.openxmlformats.org/officeDocument/2006/relationships/hyperlink" Target="https://academic.oup.com/biomedgerontology/article/59/6/B547/662101" TargetMode="External"/><Relationship Id="rId15" Type="http://schemas.openxmlformats.org/officeDocument/2006/relationships/hyperlink" Target="http://treasury.gov.au/PublicationsAndMedia/Publications/2015/2015-Intergenerational-Report" TargetMode="External"/><Relationship Id="rId10" Type="http://schemas.openxmlformats.org/officeDocument/2006/relationships/hyperlink" Target="http://www.aihw.gov.au/WorkArea/DownloadAsset.aspx?id=10737422943" TargetMode="External"/><Relationship Id="rId4" Type="http://schemas.openxmlformats.org/officeDocument/2006/relationships/webSettings" Target="webSettings.xml"/><Relationship Id="rId9" Type="http://schemas.openxmlformats.org/officeDocument/2006/relationships/hyperlink" Target="http://www.abs.gov.au/AUSSTATS/abs@.nsf/DetailsPage/4430.02015?OpenDocument" TargetMode="External"/><Relationship Id="rId14" Type="http://schemas.openxmlformats.org/officeDocument/2006/relationships/hyperlink" Target="https://interact2.csu.edu.au/bbcswebdav/pid-2899917-dt-content-rid-6653299_1/xid-6653299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2019-08-07T05:23:00Z</dcterms:created>
  <dcterms:modified xsi:type="dcterms:W3CDTF">2019-08-07T05:23:00Z</dcterms:modified>
</cp:coreProperties>
</file>