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C02B" w14:textId="77777777" w:rsidR="007C2E3F" w:rsidRPr="007C2E3F" w:rsidRDefault="007C2E3F" w:rsidP="007C2E3F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D3B45"/>
          <w:sz w:val="24"/>
          <w:szCs w:val="24"/>
        </w:rPr>
      </w:pPr>
      <w:bookmarkStart w:id="0" w:name="_GoBack"/>
      <w:bookmarkEnd w:id="0"/>
      <w:r w:rsidRPr="007C2E3F">
        <w:rPr>
          <w:rFonts w:ascii="Arial" w:eastAsia="Times New Roman" w:hAnsi="Arial" w:cs="Arial"/>
          <w:b/>
          <w:bCs/>
          <w:color w:val="2D3B45"/>
          <w:sz w:val="24"/>
          <w:szCs w:val="24"/>
        </w:rPr>
        <w:t xml:space="preserve">Week 5 </w:t>
      </w:r>
      <w:proofErr w:type="spellStart"/>
      <w:r w:rsidRPr="007C2E3F">
        <w:rPr>
          <w:rFonts w:ascii="Arial" w:eastAsia="Times New Roman" w:hAnsi="Arial" w:cs="Arial"/>
          <w:b/>
          <w:bCs/>
          <w:color w:val="2D3B45"/>
          <w:sz w:val="24"/>
          <w:szCs w:val="24"/>
        </w:rPr>
        <w:t>iCARE</w:t>
      </w:r>
      <w:proofErr w:type="spellEnd"/>
      <w:r w:rsidRPr="007C2E3F">
        <w:rPr>
          <w:rFonts w:ascii="Arial" w:eastAsia="Times New Roman" w:hAnsi="Arial" w:cs="Arial"/>
          <w:b/>
          <w:bCs/>
          <w:color w:val="2D3B45"/>
          <w:sz w:val="24"/>
          <w:szCs w:val="24"/>
        </w:rPr>
        <w:t xml:space="preserve"> Paper Grading Rubric</w:t>
      </w:r>
    </w:p>
    <w:tbl>
      <w:tblPr>
        <w:tblW w:w="12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8959"/>
        <w:gridCol w:w="1154"/>
      </w:tblGrid>
      <w:tr w:rsidR="007C2E3F" w:rsidRPr="007C2E3F" w14:paraId="570F55FC" w14:textId="77777777" w:rsidTr="007C2E3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C8EBEB" w14:textId="77777777" w:rsidR="007C2E3F" w:rsidRPr="007C2E3F" w:rsidRDefault="007C2E3F" w:rsidP="007C2E3F">
            <w:pPr>
              <w:spacing w:after="0" w:line="240" w:lineRule="auto"/>
              <w:jc w:val="center"/>
              <w:divId w:val="337729933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 xml:space="preserve">Week 5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iCARE</w:t>
            </w:r>
            <w:proofErr w:type="spellEnd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 xml:space="preserve"> Paper Grading Rubric</w:t>
            </w:r>
          </w:p>
        </w:tc>
      </w:tr>
      <w:tr w:rsidR="007C2E3F" w:rsidRPr="007C2E3F" w14:paraId="0BEE48A4" w14:textId="77777777" w:rsidTr="007C2E3F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62868F" w14:textId="77777777" w:rsidR="007C2E3F" w:rsidRPr="007C2E3F" w:rsidRDefault="007C2E3F" w:rsidP="007C2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D0BF8B" w14:textId="77777777" w:rsidR="007C2E3F" w:rsidRPr="007C2E3F" w:rsidRDefault="007C2E3F" w:rsidP="007C2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50F5B1" w14:textId="77777777" w:rsidR="007C2E3F" w:rsidRPr="007C2E3F" w:rsidRDefault="007C2E3F" w:rsidP="007C2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b/>
                <w:bCs/>
                <w:color w:val="2D3B45"/>
                <w:sz w:val="24"/>
                <w:szCs w:val="24"/>
              </w:rPr>
              <w:t>Pts</w:t>
            </w:r>
          </w:p>
        </w:tc>
      </w:tr>
      <w:tr w:rsidR="007C2E3F" w:rsidRPr="007C2E3F" w14:paraId="53DAEBC1" w14:textId="77777777" w:rsidTr="007C2E3F">
        <w:trPr>
          <w:trHeight w:val="30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57E0A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Introduction</w:t>
            </w:r>
            <w:proofErr w:type="spellEnd"/>
          </w:p>
          <w:p w14:paraId="03A123E6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The type of work setting and interprofessional team features are described (improvement or type of team).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2254"/>
              <w:gridCol w:w="1375"/>
              <w:gridCol w:w="1473"/>
              <w:gridCol w:w="1487"/>
            </w:tblGrid>
            <w:tr w:rsidR="007C2E3F" w:rsidRPr="007C2E3F" w14:paraId="30BB8B77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7EACEFF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25.0 pts</w:t>
                  </w:r>
                </w:p>
                <w:p w14:paraId="6613FF6D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Introduction thoroughly describes the work setting and features of the interprofessional team.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83ADCE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22.0 pts</w:t>
                  </w:r>
                </w:p>
                <w:p w14:paraId="753A5240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Introduction describes the work setting and features of the interprofessional team.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9725F81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14:paraId="13C6B441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One element from the first column is missing or lacks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8FDD3AA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10.0 pts</w:t>
                  </w:r>
                </w:p>
                <w:p w14:paraId="4CAE077C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Two elements from the first column are missing and lack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B61FB02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08E76933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introduction is missing.</w:t>
                  </w:r>
                </w:p>
              </w:tc>
            </w:tr>
          </w:tbl>
          <w:p w14:paraId="25E22814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28448E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25.0 pts</w:t>
            </w:r>
          </w:p>
        </w:tc>
      </w:tr>
      <w:tr w:rsidR="007C2E3F" w:rsidRPr="007C2E3F" w14:paraId="6C1CE42B" w14:textId="77777777" w:rsidTr="007C2E3F">
        <w:trPr>
          <w:trHeight w:val="39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9321CF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Compassion</w:t>
            </w:r>
            <w:proofErr w:type="spellEnd"/>
          </w:p>
          <w:p w14:paraId="7784BBBE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Nursing action related to compassion is described in support of the interprofessional team, the culture of the unit, and patient outcomes.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8"/>
              <w:gridCol w:w="2278"/>
              <w:gridCol w:w="1789"/>
              <w:gridCol w:w="1628"/>
              <w:gridCol w:w="880"/>
            </w:tblGrid>
            <w:tr w:rsidR="007C2E3F" w:rsidRPr="007C2E3F" w14:paraId="302FFD1E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A23550B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25.0 pts</w:t>
                  </w:r>
                </w:p>
                <w:p w14:paraId="78826BEC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compassion was clearly identified and support of the interprofessional team, the culture of the unit, and patient outcomes were thoroughly explained.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E733046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22.0 pts</w:t>
                  </w:r>
                </w:p>
                <w:p w14:paraId="640FCADD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compassion was identified and satisfactorily supported the interprofessional team, the culture of the unit, and patient outcomes.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CE66D88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14:paraId="3F04CDCD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compassion was identified and one of the elements of support from the first column were missing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65811A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10.0 pts</w:t>
                  </w:r>
                </w:p>
                <w:p w14:paraId="6BAB22BD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compassion lacked more than two elements of support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F60A765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5A02958C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No Marks</w:t>
                  </w:r>
                </w:p>
              </w:tc>
            </w:tr>
          </w:tbl>
          <w:p w14:paraId="3C0E38E6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A99099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25.0 pts</w:t>
            </w:r>
          </w:p>
        </w:tc>
      </w:tr>
      <w:tr w:rsidR="007C2E3F" w:rsidRPr="007C2E3F" w14:paraId="7CC94C2B" w14:textId="77777777" w:rsidTr="007C2E3F">
        <w:trPr>
          <w:trHeight w:val="4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6A345E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Advocacy</w:t>
            </w:r>
            <w:proofErr w:type="spellEnd"/>
          </w:p>
          <w:p w14:paraId="2467BF9C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Nursing action related to advocacy is described in support of the interprofessional team, the culture of the unit, and patient outcomes.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2296"/>
              <w:gridCol w:w="1609"/>
              <w:gridCol w:w="1444"/>
              <w:gridCol w:w="1231"/>
            </w:tblGrid>
            <w:tr w:rsidR="007C2E3F" w:rsidRPr="007C2E3F" w14:paraId="1C5A770A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B2E85C2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25.0 pts</w:t>
                  </w:r>
                </w:p>
                <w:p w14:paraId="02CE4543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advocacy was identified and support of the interprofessional team, the culture of the unit, and patient outcomes were thoroughly explained.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E43D06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22.0 pts</w:t>
                  </w:r>
                </w:p>
                <w:p w14:paraId="4A9E56E2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advocacy was identified and satisfactorily supported the interprofessional team, the culture of the unit, and patient outcomes.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77802A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14:paraId="120B9A3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related to advocacy was identified and one of the elements of support from the first column were missing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228E582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10.0 pts</w:t>
                  </w:r>
                </w:p>
                <w:p w14:paraId="55F993C7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advocacy lacked more than two elements of support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2A7142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3EBE0F37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and support elements were missing.</w:t>
                  </w:r>
                </w:p>
              </w:tc>
            </w:tr>
          </w:tbl>
          <w:p w14:paraId="55958E1A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79629F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25.0 pts</w:t>
            </w:r>
          </w:p>
        </w:tc>
      </w:tr>
      <w:tr w:rsidR="007C2E3F" w:rsidRPr="007C2E3F" w14:paraId="3ACB4DB7" w14:textId="77777777" w:rsidTr="007C2E3F">
        <w:trPr>
          <w:trHeight w:val="4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C08BA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Resilience</w:t>
            </w:r>
            <w:proofErr w:type="spellEnd"/>
          </w:p>
          <w:p w14:paraId="1E67B232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Nursing action related to resilience is described in support of the interprofessional team, the culture of the unit, and patient outcomes.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284"/>
              <w:gridCol w:w="1625"/>
              <w:gridCol w:w="1458"/>
              <w:gridCol w:w="1226"/>
            </w:tblGrid>
            <w:tr w:rsidR="007C2E3F" w:rsidRPr="007C2E3F" w14:paraId="6E3A8998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B2BEDDA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25.0 pts</w:t>
                  </w:r>
                </w:p>
                <w:p w14:paraId="2F5074D3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resilience was identified and support of the interprofessional team, the culture of the unit, and patient outcomes were thoroughly explained.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C9E9812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22.0 pts</w:t>
                  </w:r>
                </w:p>
                <w:p w14:paraId="2B3CC71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resilience was identified and satisfactorily supported the interprofessional team, the culture of the unit, and patient outcomes.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5AE0A41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14:paraId="10CC3E1A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resilience was identified and one of the elements of support from the first column were missing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67720CC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10.0 pts</w:t>
                  </w:r>
                </w:p>
                <w:p w14:paraId="2331F22D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resiliency lacked more than two elements of support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E246770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65A10B47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and support elements were missing.</w:t>
                  </w:r>
                </w:p>
              </w:tc>
            </w:tr>
          </w:tbl>
          <w:p w14:paraId="56BD6E26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37913B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25.0 pts</w:t>
            </w:r>
          </w:p>
        </w:tc>
      </w:tr>
      <w:tr w:rsidR="007C2E3F" w:rsidRPr="007C2E3F" w14:paraId="0A83CAE3" w14:textId="77777777" w:rsidTr="007C2E3F">
        <w:trPr>
          <w:trHeight w:val="39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7131AF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Evidence</w:t>
            </w:r>
            <w:proofErr w:type="spellEnd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-Based Practice</w:t>
            </w:r>
          </w:p>
          <w:p w14:paraId="258BD600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Nursing action related to EBP is described in support of the interprofessional team, the culture of the unit, and patient outcomes.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2204"/>
              <w:gridCol w:w="1548"/>
              <w:gridCol w:w="1723"/>
              <w:gridCol w:w="1205"/>
            </w:tblGrid>
            <w:tr w:rsidR="007C2E3F" w:rsidRPr="007C2E3F" w14:paraId="1DB986E5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09D8629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25.0 pts</w:t>
                  </w:r>
                </w:p>
                <w:p w14:paraId="3630834D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EBP was identified and support of the interprofessional team, the culture of the unit, and patient outcomes were thoroughly explained.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E29E17C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22.0 pts</w:t>
                  </w:r>
                </w:p>
                <w:p w14:paraId="27BC466A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EBP was identified and satisfactorily supported the interprofessional team, the culture of the unit, and patient outcomes.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CE6076D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14:paraId="1FB7E646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EBP was identified and one of the elements of support from the first column were missing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D09C0B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10.0 pts</w:t>
                  </w:r>
                </w:p>
                <w:p w14:paraId="2A3298DA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related to EBP was not sufficiently identified or one of the elements of support from the first column were missing or lacked detail.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21EA68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1CE87AB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The nursing action and support elements were missing.</w:t>
                  </w:r>
                </w:p>
              </w:tc>
            </w:tr>
          </w:tbl>
          <w:p w14:paraId="7178B7AF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2BB321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25.0 pts</w:t>
            </w:r>
          </w:p>
        </w:tc>
      </w:tr>
      <w:tr w:rsidR="007C2E3F" w:rsidRPr="007C2E3F" w14:paraId="0B11A620" w14:textId="77777777" w:rsidTr="007C2E3F">
        <w:trPr>
          <w:trHeight w:val="42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B2E65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Summary</w:t>
            </w:r>
            <w:proofErr w:type="spellEnd"/>
          </w:p>
          <w:p w14:paraId="30FFC0EB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 xml:space="preserve">Explain how nursing actions of the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iCARE</w:t>
            </w:r>
            <w:proofErr w:type="spellEnd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 xml:space="preserve"> components can support interprofessional teams and patient outcomes. Address how you can influence support for interprofessional teams on your unit or area of practice.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2169"/>
              <w:gridCol w:w="2168"/>
              <w:gridCol w:w="1228"/>
              <w:gridCol w:w="1179"/>
            </w:tblGrid>
            <w:tr w:rsidR="007C2E3F" w:rsidRPr="007C2E3F" w14:paraId="36C3DF22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E98C452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35.0 pts</w:t>
                  </w:r>
                </w:p>
                <w:p w14:paraId="25B06C89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Key points regarding nursing actions and support for interprofessional teams and patient outcomes; and, nursing supportive influence are thoroughly described.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C408913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31.0 pts</w:t>
                  </w:r>
                </w:p>
                <w:p w14:paraId="52D79EC7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Most key points regarding nursing actions and support for interprofessional teams and patient outcomes; and, nursing supportive influence are described.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4F32251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28.0 pts</w:t>
                  </w:r>
                </w:p>
                <w:p w14:paraId="6E785816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Some key points regarding nursing actions and support for interprofessional teams and patient outcomes; and, nursing supportive influence are described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9D83BF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13.0 pts</w:t>
                  </w:r>
                </w:p>
                <w:p w14:paraId="1780D22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Summary lacks details of key points.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40A6208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5D5F9429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Summary is missing.</w:t>
                  </w:r>
                </w:p>
              </w:tc>
            </w:tr>
          </w:tbl>
          <w:p w14:paraId="1353E6F5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D0030C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35.0 pts</w:t>
            </w:r>
          </w:p>
        </w:tc>
      </w:tr>
      <w:tr w:rsidR="007C2E3F" w:rsidRPr="007C2E3F" w14:paraId="0F8D642E" w14:textId="77777777" w:rsidTr="007C2E3F">
        <w:trPr>
          <w:trHeight w:val="45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EC708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Mechanics</w:t>
            </w:r>
            <w:proofErr w:type="spellEnd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 xml:space="preserve"> and Organization</w:t>
            </w:r>
          </w:p>
          <w:p w14:paraId="1AC65A98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The discussion is well organized and logical. The structure is clear and compelling to the reader. Paragraphs are linked together logically, and main ideas stand out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1653"/>
              <w:gridCol w:w="1654"/>
              <w:gridCol w:w="1657"/>
              <w:gridCol w:w="1756"/>
            </w:tblGrid>
            <w:tr w:rsidR="007C2E3F" w:rsidRPr="007C2E3F" w14:paraId="1D76F17F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68E4725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14:paraId="5B4C2CAF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Excellent mechanics and organization with minimal errors of the following: Well organized and logical, correct grammar, punctuation, and spelling, professional wording is used, uses complete sentences, paragraphs are linked together logically, and main ideas expressed clearly.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45B120A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18.0 pts</w:t>
                  </w:r>
                </w:p>
                <w:p w14:paraId="04CFC2A8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Good mechanics and organization considering the elements listed in the column A. Few errors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16B6346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16.0 pts</w:t>
                  </w:r>
                </w:p>
                <w:p w14:paraId="7FCC4FC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Fair mechanics and organization considering the elements listed in the column A. Some errors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C1CFC26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8.0 pts</w:t>
                  </w:r>
                </w:p>
                <w:p w14:paraId="5F023803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Poor mechanics and organization considering the elements listed in the column A. Many errors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32BAEB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6DDB9F30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Very poor mechanics and organization considering the elements listed in the column A such that it is difficult to follow or understand.</w:t>
                  </w:r>
                </w:p>
              </w:tc>
            </w:tr>
          </w:tbl>
          <w:p w14:paraId="771B4EC1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A9361A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20.0 pts</w:t>
            </w:r>
          </w:p>
        </w:tc>
      </w:tr>
      <w:tr w:rsidR="007C2E3F" w:rsidRPr="007C2E3F" w14:paraId="5FA14D34" w14:textId="77777777" w:rsidTr="007C2E3F">
        <w:trPr>
          <w:trHeight w:val="519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8FF5E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APA</w:t>
            </w:r>
            <w:proofErr w:type="spellEnd"/>
          </w:p>
          <w:p w14:paraId="11799E01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APA format is used throughout.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1472"/>
              <w:gridCol w:w="1559"/>
              <w:gridCol w:w="1562"/>
              <w:gridCol w:w="1500"/>
            </w:tblGrid>
            <w:tr w:rsidR="007C2E3F" w:rsidRPr="007C2E3F" w14:paraId="4BB6D9F3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AF5293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20.0 pts</w:t>
                  </w:r>
                </w:p>
                <w:p w14:paraId="3DFF8C72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Excellent APA formatting with minimal errors of the following: All sources cited in the text -all references listed on the reference page using basics of APA format -title page in general APA format -headings present and follow APA format -12-point font, double spaced, 1 inch margins, paragraphs indented -used only one short quote and body of the paper is approximately 3 pages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FBBD05B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18.0 pts</w:t>
                  </w:r>
                </w:p>
                <w:p w14:paraId="3334DC7F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Good formatting considering the elements listed in column A.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DFBB8C6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16.0 pts</w:t>
                  </w:r>
                </w:p>
                <w:p w14:paraId="0CEC4618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Fair formatting considering the elements listed in column A. Some APA errors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F49C91B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8.0 pts</w:t>
                  </w:r>
                </w:p>
                <w:p w14:paraId="2CB4E81A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Poor formatting considering the elements listed in column A. Many APA errors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338F860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2B9D46EE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Very poor formatting such that paper is difficult to read. Numerous APA errors noted.</w:t>
                  </w:r>
                </w:p>
              </w:tc>
            </w:tr>
          </w:tbl>
          <w:p w14:paraId="40D40FAD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6A35DE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20.0 pts</w:t>
            </w:r>
          </w:p>
        </w:tc>
      </w:tr>
      <w:tr w:rsidR="007C2E3F" w:rsidRPr="007C2E3F" w14:paraId="65A79600" w14:textId="77777777" w:rsidTr="007C2E3F">
        <w:trPr>
          <w:trHeight w:val="1657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BAFA3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Use</w:t>
            </w:r>
            <w:proofErr w:type="spellEnd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 xml:space="preserve"> of CINAHL article as Required Source from CCN Library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5597"/>
            </w:tblGrid>
            <w:tr w:rsidR="007C2E3F" w:rsidRPr="007C2E3F" w14:paraId="5803435E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32DE1B3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32384F91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 points deducted</w:t>
                  </w:r>
                </w:p>
                <w:p w14:paraId="355148B7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  <w:t>Used CINAHL article from CCN Library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A5F628F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0854C5C5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20 points (10%) deducted</w:t>
                  </w:r>
                </w:p>
                <w:p w14:paraId="3733C46C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  <w:t>Required article source of CINAHL not used resulting in point deduction</w:t>
                  </w:r>
                </w:p>
              </w:tc>
            </w:tr>
          </w:tbl>
          <w:p w14:paraId="103C48B7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BE469B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0.0 pts</w:t>
            </w:r>
          </w:p>
        </w:tc>
      </w:tr>
      <w:tr w:rsidR="007C2E3F" w:rsidRPr="007C2E3F" w14:paraId="5313CB31" w14:textId="77777777" w:rsidTr="007C2E3F">
        <w:trPr>
          <w:trHeight w:val="1957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27B34" w14:textId="77777777" w:rsidR="007C2E3F" w:rsidRPr="007C2E3F" w:rsidRDefault="007C2E3F" w:rsidP="007C2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Late</w:t>
            </w:r>
            <w:proofErr w:type="spellEnd"/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 xml:space="preserve"> Deduction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7559"/>
            </w:tblGrid>
            <w:tr w:rsidR="007C2E3F" w:rsidRPr="007C2E3F" w14:paraId="43938EC0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0AD67BC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27717C1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 points deducted</w:t>
                  </w:r>
                </w:p>
                <w:p w14:paraId="47B1CA81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  <w:t>Submitted on time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AB29C65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012686E4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Not submitted on time - Points deducted</w:t>
                  </w:r>
                </w:p>
                <w:p w14:paraId="3E119525" w14:textId="77777777" w:rsidR="007C2E3F" w:rsidRPr="007C2E3F" w:rsidRDefault="007C2E3F" w:rsidP="007C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</w:pPr>
                  <w:r w:rsidRPr="007C2E3F">
                    <w:rPr>
                      <w:rFonts w:ascii="Times New Roman" w:eastAsia="Times New Roman" w:hAnsi="Times New Roman" w:cs="Times New Roman"/>
                      <w:color w:val="2D3B45"/>
                      <w:sz w:val="20"/>
                      <w:szCs w:val="20"/>
                    </w:rPr>
                    <w:t>1 day late = 10 deduction; 2 days late = 20 deduction; 3 days late = 30 deduction; 4 days late = 40 deduction; 5 days late = 50 deduction; 6 days late = 60 deduction; 7 days late = 70 deduction; Score of 0 if more than 7 days late</w:t>
                  </w:r>
                </w:p>
              </w:tc>
            </w:tr>
          </w:tbl>
          <w:p w14:paraId="0ED826AE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50AD44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0.0 pts</w:t>
            </w:r>
          </w:p>
        </w:tc>
      </w:tr>
      <w:tr w:rsidR="007C2E3F" w:rsidRPr="007C2E3F" w14:paraId="3BC0658C" w14:textId="77777777" w:rsidTr="007C2E3F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66E733" w14:textId="77777777" w:rsidR="007C2E3F" w:rsidRPr="007C2E3F" w:rsidRDefault="007C2E3F" w:rsidP="007C2E3F">
            <w:pPr>
              <w:spacing w:after="0" w:line="240" w:lineRule="auto"/>
              <w:rPr>
                <w:rFonts w:ascii="Arial" w:eastAsia="Times New Roman" w:hAnsi="Arial" w:cs="Arial"/>
                <w:color w:val="2D3B45"/>
                <w:sz w:val="24"/>
                <w:szCs w:val="24"/>
              </w:rPr>
            </w:pPr>
            <w:r w:rsidRPr="007C2E3F">
              <w:rPr>
                <w:rFonts w:ascii="Arial" w:eastAsia="Times New Roman" w:hAnsi="Arial" w:cs="Arial"/>
                <w:color w:val="2D3B45"/>
                <w:sz w:val="24"/>
                <w:szCs w:val="24"/>
              </w:rPr>
              <w:t>Total Points: 200.0</w:t>
            </w:r>
          </w:p>
        </w:tc>
      </w:tr>
    </w:tbl>
    <w:p w14:paraId="5F04736A" w14:textId="77777777" w:rsidR="00804C43" w:rsidRDefault="00804C43"/>
    <w:sectPr w:rsidR="00804C43" w:rsidSect="007C2E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3F"/>
    <w:rsid w:val="005F5567"/>
    <w:rsid w:val="007C2E3F"/>
    <w:rsid w:val="008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C018"/>
  <w15:chartTrackingRefBased/>
  <w15:docId w15:val="{DEBE5B98-6B02-4D37-9401-7C985AE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7C2E3F"/>
  </w:style>
  <w:style w:type="character" w:customStyle="1" w:styleId="screenreader-only">
    <w:name w:val="screenreader-only"/>
    <w:basedOn w:val="DefaultParagraphFont"/>
    <w:rsid w:val="007C2E3F"/>
  </w:style>
  <w:style w:type="character" w:customStyle="1" w:styleId="description">
    <w:name w:val="description"/>
    <w:basedOn w:val="DefaultParagraphFont"/>
    <w:rsid w:val="007C2E3F"/>
  </w:style>
  <w:style w:type="character" w:customStyle="1" w:styleId="nobr">
    <w:name w:val="nobr"/>
    <w:basedOn w:val="DefaultParagraphFont"/>
    <w:rsid w:val="007C2E3F"/>
  </w:style>
  <w:style w:type="character" w:customStyle="1" w:styleId="points">
    <w:name w:val="points"/>
    <w:basedOn w:val="DefaultParagraphFont"/>
    <w:rsid w:val="007C2E3F"/>
  </w:style>
  <w:style w:type="character" w:customStyle="1" w:styleId="displaycriterionpoints">
    <w:name w:val="display_criterion_points"/>
    <w:basedOn w:val="DefaultParagraphFont"/>
    <w:rsid w:val="007C2E3F"/>
  </w:style>
  <w:style w:type="character" w:customStyle="1" w:styleId="rubrictotal">
    <w:name w:val="rubric_total"/>
    <w:basedOn w:val="DefaultParagraphFont"/>
    <w:rsid w:val="007C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790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1766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2993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2020-01-22T08:17:00Z</dcterms:created>
  <dcterms:modified xsi:type="dcterms:W3CDTF">2020-01-22T08:17:00Z</dcterms:modified>
</cp:coreProperties>
</file>