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ABB6A" w14:textId="2E2E70CB" w:rsidR="00A256FB" w:rsidRPr="008E4FB1" w:rsidRDefault="00A256FB" w:rsidP="00A256FB">
      <w:pPr>
        <w:jc w:val="left"/>
      </w:pPr>
      <w:r w:rsidRPr="008E4FB1">
        <w:t>This assessment tests the learning outcomes and module content of:</w:t>
      </w:r>
    </w:p>
    <w:p w14:paraId="2634A248" w14:textId="77777777" w:rsidR="00A256FB" w:rsidRDefault="00A256FB" w:rsidP="00A256FB">
      <w:pPr>
        <w:jc w:val="left"/>
        <w:rPr>
          <w:b/>
        </w:rPr>
      </w:pPr>
    </w:p>
    <w:p w14:paraId="4C4276A7" w14:textId="77777777" w:rsidR="00A256FB" w:rsidRPr="00F50CEF" w:rsidRDefault="00A256FB" w:rsidP="00A256FB">
      <w:pPr>
        <w:jc w:val="left"/>
        <w:rPr>
          <w:b/>
          <w:color w:val="002060"/>
        </w:rPr>
      </w:pPr>
      <w:r w:rsidRPr="00F50CEF">
        <w:rPr>
          <w:b/>
          <w:color w:val="002060"/>
        </w:rPr>
        <w:t>Module</w:t>
      </w:r>
      <w:r>
        <w:rPr>
          <w:b/>
          <w:color w:val="002060"/>
        </w:rPr>
        <w:t xml:space="preserve"> Title</w:t>
      </w:r>
      <w:r w:rsidRPr="00F50CEF">
        <w:rPr>
          <w:b/>
          <w:color w:val="002060"/>
        </w:rPr>
        <w:t>: Sourcing Essentials</w:t>
      </w:r>
    </w:p>
    <w:p w14:paraId="2CCEBDFC" w14:textId="77777777" w:rsidR="00A256FB" w:rsidRPr="00F50CEF" w:rsidRDefault="00A256FB" w:rsidP="00A256FB">
      <w:pPr>
        <w:jc w:val="left"/>
        <w:rPr>
          <w:b/>
          <w:color w:val="002060"/>
        </w:rPr>
      </w:pPr>
    </w:p>
    <w:p w14:paraId="125B33CF" w14:textId="77777777" w:rsidR="00A256FB" w:rsidRDefault="00A256FB" w:rsidP="00A256FB">
      <w:pPr>
        <w:jc w:val="left"/>
        <w:rPr>
          <w:b/>
        </w:rPr>
      </w:pPr>
    </w:p>
    <w:p w14:paraId="4FDF35B5" w14:textId="77777777" w:rsidR="00A256FB" w:rsidRPr="00F50CEF" w:rsidRDefault="00A256FB" w:rsidP="00A256FB">
      <w:pPr>
        <w:jc w:val="left"/>
        <w:rPr>
          <w:b/>
          <w:color w:val="002060"/>
        </w:rPr>
      </w:pPr>
      <w:r w:rsidRPr="00F50CEF">
        <w:rPr>
          <w:b/>
          <w:color w:val="002060"/>
        </w:rPr>
        <w:t>Task</w:t>
      </w:r>
    </w:p>
    <w:p w14:paraId="411C52B8" w14:textId="77777777" w:rsidR="00A256FB" w:rsidRPr="00AB42E4" w:rsidRDefault="00A256FB" w:rsidP="00A256FB">
      <w:pPr>
        <w:jc w:val="left"/>
      </w:pPr>
      <w:r w:rsidRPr="00AB42E4">
        <w:t>Identify four sourcing approaches, and for each one</w:t>
      </w:r>
      <w:r>
        <w:t>,</w:t>
      </w:r>
      <w:r w:rsidRPr="00AB42E4">
        <w:t xml:space="preserve"> identify and explain how you apply them to a category of spend within your organisation.</w:t>
      </w:r>
    </w:p>
    <w:p w14:paraId="769E413F" w14:textId="77777777" w:rsidR="00A256FB" w:rsidRPr="00AB42E4" w:rsidRDefault="00A256FB" w:rsidP="00A256FB">
      <w:pPr>
        <w:jc w:val="left"/>
      </w:pPr>
      <w:r w:rsidRPr="00AB42E4">
        <w:t xml:space="preserve"> </w:t>
      </w:r>
    </w:p>
    <w:p w14:paraId="3039F703" w14:textId="77777777" w:rsidR="00A256FB" w:rsidRPr="00AB42E4" w:rsidRDefault="00A256FB" w:rsidP="00A256FB">
      <w:pPr>
        <w:jc w:val="left"/>
      </w:pPr>
      <w:r w:rsidRPr="00AB42E4">
        <w:t xml:space="preserve">Choose one of these categories and develop a supplier appraisal check list. </w:t>
      </w:r>
    </w:p>
    <w:p w14:paraId="3AC601EF" w14:textId="77777777" w:rsidR="00A256FB" w:rsidRDefault="00A256FB" w:rsidP="00A256FB">
      <w:pPr>
        <w:jc w:val="left"/>
        <w:rPr>
          <w:b/>
        </w:rPr>
      </w:pPr>
    </w:p>
    <w:p w14:paraId="5945117A" w14:textId="77777777" w:rsidR="00A256FB" w:rsidRDefault="00A256FB" w:rsidP="00A256FB">
      <w:pPr>
        <w:rPr>
          <w:b/>
          <w:color w:val="002060"/>
        </w:rPr>
      </w:pPr>
      <w:r>
        <w:rPr>
          <w:b/>
          <w:color w:val="002060"/>
        </w:rPr>
        <w:t>Guidance for candidates</w:t>
      </w:r>
    </w:p>
    <w:p w14:paraId="49BC657D" w14:textId="77777777" w:rsidR="00A256FB" w:rsidRDefault="00A256FB" w:rsidP="00A256FB">
      <w:pPr>
        <w:rPr>
          <w:b/>
        </w:rPr>
      </w:pPr>
    </w:p>
    <w:p w14:paraId="5B8E4307" w14:textId="77777777" w:rsidR="00A256FB" w:rsidRDefault="00A256FB" w:rsidP="00A256FB">
      <w:r>
        <w:t xml:space="preserve">Your work should consist of </w:t>
      </w:r>
      <w:r w:rsidRPr="00341BAB">
        <w:rPr>
          <w:b/>
          <w:color w:val="002060"/>
          <w:sz w:val="24"/>
          <w:szCs w:val="24"/>
        </w:rPr>
        <w:t>3,000</w:t>
      </w:r>
      <w:r>
        <w:t xml:space="preserve"> words. Your assignment should include the assignment title, your candidate number and word count on the front cover, followed by contents page, executive summary, conclusions, recommendations, references and a bibliography. Any source materials such as web sites, company reports, indices, market data, articles, journals or texts should be listed in your references or bibliography in accordance with a recognised referencing system. Your assignment submission should be word processed with a minimum font size 12pt and 1.5 or double line spacing. Refer to the Assignment Guidance document for more information.</w:t>
      </w:r>
    </w:p>
    <w:p w14:paraId="7BAE3C7B" w14:textId="77777777" w:rsidR="00A256FB" w:rsidRDefault="00A256FB" w:rsidP="00A256FB"/>
    <w:p w14:paraId="66532BD3" w14:textId="77777777" w:rsidR="00A256FB" w:rsidRDefault="00A256FB" w:rsidP="00A256FB"/>
    <w:p w14:paraId="1FC52249" w14:textId="77777777" w:rsidR="00A256FB" w:rsidRDefault="00A256FB" w:rsidP="00A256FB">
      <w:pPr>
        <w:pStyle w:val="ListParagraph"/>
        <w:numPr>
          <w:ilvl w:val="0"/>
          <w:numId w:val="1"/>
        </w:numPr>
      </w:pPr>
      <w:r>
        <w:t>This assignment enables you to demonstrate the knowledge and understanding you have gained within the programme, together with your ability to research, analyse and problem solve a range of different procurement and supply related situations and challenges.</w:t>
      </w:r>
    </w:p>
    <w:p w14:paraId="68C0FBD2" w14:textId="77777777" w:rsidR="00A256FB" w:rsidRDefault="00A256FB" w:rsidP="00A256FB">
      <w:pPr>
        <w:ind w:left="360"/>
      </w:pPr>
    </w:p>
    <w:p w14:paraId="4E89950F" w14:textId="47487BA3" w:rsidR="00A256FB" w:rsidRDefault="00A256FB" w:rsidP="00A256FB">
      <w:pPr>
        <w:pStyle w:val="ListParagraph"/>
        <w:numPr>
          <w:ilvl w:val="0"/>
          <w:numId w:val="1"/>
        </w:numPr>
      </w:pPr>
      <w:r>
        <w:t>You are advised to read carefully the complete Assignment Guidance</w:t>
      </w:r>
      <w:r w:rsidR="000F18C2">
        <w:t>.</w:t>
      </w:r>
    </w:p>
    <w:p w14:paraId="0F283E43" w14:textId="77777777" w:rsidR="00A256FB" w:rsidRDefault="00A256FB" w:rsidP="00A256FB">
      <w:pPr>
        <w:pStyle w:val="ListParagraph"/>
      </w:pPr>
    </w:p>
    <w:p w14:paraId="15E953B4" w14:textId="77777777" w:rsidR="00A256FB" w:rsidRPr="000F18C2" w:rsidRDefault="00A256FB" w:rsidP="00A256FB">
      <w:pPr>
        <w:pStyle w:val="ListParagraph"/>
        <w:numPr>
          <w:ilvl w:val="0"/>
          <w:numId w:val="1"/>
        </w:numPr>
        <w:rPr>
          <w:highlight w:val="yellow"/>
        </w:rPr>
      </w:pPr>
      <w:r w:rsidRPr="000F18C2">
        <w:rPr>
          <w:highlight w:val="yellow"/>
        </w:rPr>
        <w:t>You are expected to approach your assignment from a procurement and supply context using the module content as the basis of your submission.</w:t>
      </w:r>
    </w:p>
    <w:p w14:paraId="333CDF2F" w14:textId="77777777" w:rsidR="00A256FB" w:rsidRDefault="00A256FB" w:rsidP="00A256FB">
      <w:pPr>
        <w:pStyle w:val="ListParagraph"/>
      </w:pPr>
    </w:p>
    <w:p w14:paraId="414AC9CB" w14:textId="77777777" w:rsidR="00A256FB" w:rsidRDefault="00A256FB" w:rsidP="00A256FB">
      <w:pPr>
        <w:pStyle w:val="ListParagraph"/>
        <w:numPr>
          <w:ilvl w:val="0"/>
          <w:numId w:val="1"/>
        </w:numPr>
      </w:pPr>
      <w:r>
        <w:t>It is recommended that you base your assignment upon the business unit or organisation you work for, as it is likely you will be able to access appropriate information and data that you will require to underpin and support your final submission.</w:t>
      </w:r>
    </w:p>
    <w:p w14:paraId="6D2C41AB" w14:textId="77777777" w:rsidR="00A256FB" w:rsidRDefault="00A256FB" w:rsidP="00A256FB">
      <w:pPr>
        <w:pStyle w:val="ListParagraph"/>
      </w:pPr>
    </w:p>
    <w:p w14:paraId="19DA6036" w14:textId="160013EC" w:rsidR="00A256FB" w:rsidRDefault="00A256FB" w:rsidP="00A256FB">
      <w:pPr>
        <w:pStyle w:val="ListParagraph"/>
        <w:numPr>
          <w:ilvl w:val="0"/>
          <w:numId w:val="1"/>
        </w:numPr>
      </w:pPr>
      <w:r>
        <w:t>Your assignment must be your own work. In order to avoid plagiarism, whenever you use someone’s words directly, or make reference to the ideas or work of others, you must reference this appropriately using a recognised referencing system, as outlined in the Assignment Guidance document. Failure to reference the work of others, whether intentional or accidental, is considered plagiarism which constitutes a form of cheating and is not tolerated</w:t>
      </w:r>
      <w:r w:rsidR="000F18C2">
        <w:t>.</w:t>
      </w:r>
    </w:p>
    <w:p w14:paraId="2EB376C5" w14:textId="77777777" w:rsidR="00A256FB" w:rsidRDefault="00A256FB" w:rsidP="00A256FB"/>
    <w:p w14:paraId="35E02AF9" w14:textId="77777777" w:rsidR="00A256FB" w:rsidRDefault="00A256FB" w:rsidP="00A256FB">
      <w:pPr>
        <w:pStyle w:val="ListParagraph"/>
        <w:numPr>
          <w:ilvl w:val="0"/>
          <w:numId w:val="1"/>
        </w:numPr>
      </w:pPr>
      <w:r>
        <w:t>Your assignment submission will be assessed according to the following assessment criteria (see the complete Assessment Guidance document (LMS – My Learning) for more information):</w:t>
      </w:r>
    </w:p>
    <w:p w14:paraId="73DD7044" w14:textId="77777777" w:rsidR="00A256FB" w:rsidRDefault="00A256FB" w:rsidP="00A256FB">
      <w:pPr>
        <w:pStyle w:val="ListParagraph"/>
      </w:pPr>
    </w:p>
    <w:p w14:paraId="1128CA6E" w14:textId="77777777" w:rsidR="00A256FB" w:rsidRDefault="00A256FB" w:rsidP="00A256FB">
      <w:pPr>
        <w:pStyle w:val="ListParagraph"/>
        <w:numPr>
          <w:ilvl w:val="0"/>
          <w:numId w:val="2"/>
        </w:numPr>
        <w:spacing w:after="120"/>
      </w:pPr>
      <w:r>
        <w:t>Application and insight (40%)</w:t>
      </w:r>
    </w:p>
    <w:p w14:paraId="64EA9CD3" w14:textId="77777777" w:rsidR="00A256FB" w:rsidRDefault="00A256FB" w:rsidP="00A256FB">
      <w:pPr>
        <w:pStyle w:val="ListParagraph"/>
        <w:numPr>
          <w:ilvl w:val="0"/>
          <w:numId w:val="2"/>
        </w:numPr>
        <w:spacing w:after="120"/>
      </w:pPr>
      <w:r>
        <w:t>Research (20%)</w:t>
      </w:r>
    </w:p>
    <w:p w14:paraId="178F33B4" w14:textId="77777777" w:rsidR="00A256FB" w:rsidRDefault="00A256FB" w:rsidP="00A256FB">
      <w:pPr>
        <w:pStyle w:val="ListParagraph"/>
        <w:numPr>
          <w:ilvl w:val="0"/>
          <w:numId w:val="2"/>
        </w:numPr>
        <w:spacing w:after="120"/>
      </w:pPr>
      <w:r>
        <w:t>Knowledge and approach (20%)</w:t>
      </w:r>
    </w:p>
    <w:p w14:paraId="6BBF4D31" w14:textId="77777777" w:rsidR="00A256FB" w:rsidRDefault="00A256FB" w:rsidP="00A256FB">
      <w:pPr>
        <w:pStyle w:val="ListParagraph"/>
        <w:numPr>
          <w:ilvl w:val="0"/>
          <w:numId w:val="2"/>
        </w:numPr>
        <w:spacing w:after="120"/>
      </w:pPr>
      <w:r>
        <w:t>Structure and presentation (20%)</w:t>
      </w:r>
    </w:p>
    <w:p w14:paraId="2501319C" w14:textId="77777777" w:rsidR="00A256FB" w:rsidRDefault="00A256FB" w:rsidP="00A256FB"/>
    <w:p w14:paraId="39D8FB39" w14:textId="77777777" w:rsidR="00A256FB" w:rsidRDefault="00A256FB" w:rsidP="00A256FB">
      <w:pPr>
        <w:pStyle w:val="ListParagraph"/>
        <w:numPr>
          <w:ilvl w:val="0"/>
          <w:numId w:val="1"/>
        </w:numPr>
      </w:pPr>
      <w:r>
        <w:lastRenderedPageBreak/>
        <w:t>Plan your assignment to ensure that you have addressed all elements of the assignment task and the assessment criteria, as well as the module learning outcomes. Think carefully about the structure, style and content of your assignment.</w:t>
      </w:r>
    </w:p>
    <w:p w14:paraId="542A9378" w14:textId="77777777" w:rsidR="00A256FB" w:rsidRDefault="00A256FB" w:rsidP="00A256FB">
      <w:pPr>
        <w:pStyle w:val="ListParagraph"/>
      </w:pPr>
    </w:p>
    <w:p w14:paraId="006853AA" w14:textId="2B3C7F9A" w:rsidR="00A256FB" w:rsidRDefault="00A256FB" w:rsidP="00A256FB">
      <w:pPr>
        <w:pStyle w:val="ListParagraph"/>
        <w:numPr>
          <w:ilvl w:val="0"/>
          <w:numId w:val="1"/>
        </w:numPr>
      </w:pPr>
      <w:r>
        <w:t>Please include your candidate number on each page of your assignment submission and include the total word count of your submission. Your name should not appear on your assignment.</w:t>
      </w:r>
    </w:p>
    <w:p w14:paraId="3D5E57E8" w14:textId="77777777" w:rsidR="00A256FB" w:rsidRDefault="00A256FB" w:rsidP="00A256FB">
      <w:pPr>
        <w:pStyle w:val="ListParagraph"/>
      </w:pPr>
    </w:p>
    <w:p w14:paraId="675F2D22" w14:textId="77777777" w:rsidR="00A256FB" w:rsidRDefault="00A256FB" w:rsidP="00A256FB">
      <w:pPr>
        <w:pStyle w:val="ListParagraph"/>
        <w:numPr>
          <w:ilvl w:val="0"/>
          <w:numId w:val="1"/>
        </w:numPr>
      </w:pPr>
      <w:r>
        <w:t xml:space="preserve">Your assignment can be up to 10% below the stated word count, or up to 10% higher than the stated word count. If your assignment exceeds the stated word count by more than 10%, marks may be deducted. The assignment guidance explains what is and what is not to be included in the word count. Your reference list and bibliography </w:t>
      </w:r>
      <w:proofErr w:type="gramStart"/>
      <w:r>
        <w:t>is</w:t>
      </w:r>
      <w:proofErr w:type="gramEnd"/>
      <w:r>
        <w:t xml:space="preserve"> excluded from the word count.</w:t>
      </w:r>
    </w:p>
    <w:p w14:paraId="2EDE1798" w14:textId="77777777" w:rsidR="00AC0BFB" w:rsidRDefault="00AC0BFB">
      <w:bookmarkStart w:id="0" w:name="_GoBack"/>
      <w:bookmarkEnd w:id="0"/>
    </w:p>
    <w:sectPr w:rsidR="00AC0BFB" w:rsidSect="00A615FE">
      <w:headerReference w:type="default" r:id="rId7"/>
      <w:footerReference w:type="default" r:id="rId8"/>
      <w:headerReference w:type="first" r:id="rId9"/>
      <w:footerReference w:type="first" r:id="rId10"/>
      <w:pgSz w:w="11906" w:h="16838" w:code="9"/>
      <w:pgMar w:top="1985" w:right="1021" w:bottom="1418" w:left="1021" w:header="56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C2B00" w14:textId="77777777" w:rsidR="008D34BC" w:rsidRDefault="008D34BC" w:rsidP="00A256FB">
      <w:r>
        <w:separator/>
      </w:r>
    </w:p>
  </w:endnote>
  <w:endnote w:type="continuationSeparator" w:id="0">
    <w:p w14:paraId="1FE1ED5D" w14:textId="77777777" w:rsidR="008D34BC" w:rsidRDefault="008D34BC" w:rsidP="00A2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3AB4" w14:textId="3FF029D9" w:rsidR="00260C72" w:rsidRPr="00FB6885" w:rsidRDefault="00192315" w:rsidP="00FB6885">
    <w:pPr>
      <w:pStyle w:val="Header"/>
    </w:pPr>
    <w:r>
      <w:rPr>
        <w:noProof/>
        <w:lang w:val="en-US"/>
      </w:rPr>
      <mc:AlternateContent>
        <mc:Choice Requires="wps">
          <w:drawing>
            <wp:anchor distT="4294967295" distB="4294967295" distL="114300" distR="114300" simplePos="0" relativeHeight="251660288" behindDoc="1" locked="0" layoutInCell="1" allowOverlap="1" wp14:anchorId="7B144EA9" wp14:editId="551AAC4B">
              <wp:simplePos x="0" y="0"/>
              <wp:positionH relativeFrom="margin">
                <wp:posOffset>-1270</wp:posOffset>
              </wp:positionH>
              <wp:positionV relativeFrom="paragraph">
                <wp:posOffset>-114936</wp:posOffset>
              </wp:positionV>
              <wp:extent cx="6264275" cy="0"/>
              <wp:effectExtent l="0" t="0" r="22225" b="19050"/>
              <wp:wrapNone/>
              <wp:docPr id="1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64275" cy="0"/>
                      </a:xfrm>
                      <a:prstGeom prst="line">
                        <a:avLst/>
                      </a:prstGeom>
                      <a:ln w="158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D8DAABD" id="Straight Connector 1"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pt,-9.05pt" to="493.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" strokecolor="#e7e6e6 [3214]" strokeweight="1.25pt">
              <v:stroke joinstyle="miter"/>
              <o:lock v:ext="edit" shapetype="f"/>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24E6E" w14:textId="77777777" w:rsidR="00260C72" w:rsidRPr="00FB6885" w:rsidRDefault="00192315" w:rsidP="00FB6885">
    <w:pPr>
      <w:pStyle w:val="Header"/>
    </w:pPr>
    <w:r>
      <w:rPr>
        <w:noProof/>
        <w:lang w:val="en-US"/>
      </w:rPr>
      <mc:AlternateContent>
        <mc:Choice Requires="wps">
          <w:drawing>
            <wp:anchor distT="4294967295" distB="4294967295" distL="114300" distR="114300" simplePos="0" relativeHeight="251662336" behindDoc="1" locked="0" layoutInCell="1" allowOverlap="1" wp14:anchorId="6C24676E" wp14:editId="4BA0D10F">
              <wp:simplePos x="0" y="0"/>
              <wp:positionH relativeFrom="margin">
                <wp:posOffset>-1270</wp:posOffset>
              </wp:positionH>
              <wp:positionV relativeFrom="paragraph">
                <wp:posOffset>-114936</wp:posOffset>
              </wp:positionV>
              <wp:extent cx="6264275" cy="0"/>
              <wp:effectExtent l="0" t="0" r="22225" b="1905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64275" cy="0"/>
                      </a:xfrm>
                      <a:prstGeom prst="line">
                        <a:avLst/>
                      </a:prstGeom>
                      <a:ln w="158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5F4CFD" id="Straight Connector 1"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pt,-9.05pt" to="493.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" strokecolor="#e7e6e6 [3214]" strokeweight="1.25pt">
              <v:stroke joinstyle="miter"/>
              <o:lock v:ext="edit" shapetype="f"/>
              <w10:wrap anchorx="margin"/>
            </v:line>
          </w:pict>
        </mc:Fallback>
      </mc:AlternateContent>
    </w:r>
    <w:r>
      <w:rPr>
        <w:spacing w:val="-4"/>
      </w:rPr>
      <w:t>Practitioner Assessment 1_Final Version_tutor_17Dec15_KH&amp;IS</w:t>
    </w:r>
    <w:r>
      <w:rPr>
        <w:spacing w:val="-4"/>
      </w:rPr>
      <w:tab/>
    </w:r>
    <w:r>
      <w:rPr>
        <w:spacing w:val="-4"/>
      </w:rPr>
      <w:tab/>
    </w:r>
    <w:r>
      <w:rPr>
        <w:spacing w:val="-4"/>
      </w:rPr>
      <w:tab/>
    </w:r>
    <w:r>
      <w:t xml:space="preserve">© CIPS 2015, </w:t>
    </w:r>
    <w:sdt>
      <w:sdtPr>
        <w:id w:val="1760641142"/>
        <w:docPartObj>
          <w:docPartGallery w:val="Page Numbers (Top of Page)"/>
          <w:docPartUnique/>
        </w:docPartObj>
      </w:sdtPr>
      <w:sdtEndPr/>
      <w:sdtContent>
        <w:r w:rsidRPr="00FB6885">
          <w:t xml:space="preserve">Page </w:t>
        </w:r>
        <w:r w:rsidRPr="00FB6885">
          <w:rPr>
            <w:bCs/>
            <w:sz w:val="24"/>
            <w:szCs w:val="24"/>
          </w:rPr>
          <w:fldChar w:fldCharType="begin"/>
        </w:r>
        <w:r w:rsidRPr="00FB6885">
          <w:rPr>
            <w:bCs/>
          </w:rPr>
          <w:instrText xml:space="preserve"> PAGE </w:instrText>
        </w:r>
        <w:r w:rsidRPr="00FB6885">
          <w:rPr>
            <w:bCs/>
            <w:sz w:val="24"/>
            <w:szCs w:val="24"/>
          </w:rPr>
          <w:fldChar w:fldCharType="separate"/>
        </w:r>
        <w:r>
          <w:rPr>
            <w:bCs/>
            <w:noProof/>
          </w:rPr>
          <w:t>1</w:t>
        </w:r>
        <w:r w:rsidRPr="00FB6885">
          <w:rPr>
            <w:bCs/>
            <w:sz w:val="24"/>
            <w:szCs w:val="24"/>
          </w:rPr>
          <w:fldChar w:fldCharType="end"/>
        </w:r>
        <w:r w:rsidRPr="00FB6885">
          <w:t xml:space="preserve"> of </w:t>
        </w:r>
        <w:r w:rsidRPr="00FB6885">
          <w:rPr>
            <w:bCs/>
            <w:sz w:val="24"/>
            <w:szCs w:val="24"/>
          </w:rPr>
          <w:fldChar w:fldCharType="begin"/>
        </w:r>
        <w:r w:rsidRPr="00FB6885">
          <w:rPr>
            <w:bCs/>
          </w:rPr>
          <w:instrText xml:space="preserve"> NUMPAGES  </w:instrText>
        </w:r>
        <w:r w:rsidRPr="00FB6885">
          <w:rPr>
            <w:bCs/>
            <w:sz w:val="24"/>
            <w:szCs w:val="24"/>
          </w:rPr>
          <w:fldChar w:fldCharType="separate"/>
        </w:r>
        <w:r>
          <w:rPr>
            <w:bCs/>
            <w:noProof/>
          </w:rPr>
          <w:t>2</w:t>
        </w:r>
        <w:r w:rsidRPr="00FB6885">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349DD" w14:textId="77777777" w:rsidR="008D34BC" w:rsidRDefault="008D34BC" w:rsidP="00A256FB">
      <w:r>
        <w:separator/>
      </w:r>
    </w:p>
  </w:footnote>
  <w:footnote w:type="continuationSeparator" w:id="0">
    <w:p w14:paraId="7D84C932" w14:textId="77777777" w:rsidR="008D34BC" w:rsidRDefault="008D34BC" w:rsidP="00A25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0D3CF" w14:textId="0BD21903" w:rsidR="006B7665" w:rsidRDefault="006B7665">
    <w:pPr>
      <w:pStyle w:val="Header"/>
    </w:pPr>
    <w:r>
      <w:t>Assessment3</w:t>
    </w:r>
  </w:p>
  <w:p w14:paraId="6360C177" w14:textId="714B4EF4" w:rsidR="00FB6885" w:rsidRDefault="008D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22D4" w14:textId="77777777" w:rsidR="00260C72" w:rsidRDefault="00192315" w:rsidP="001522C4">
    <w:pPr>
      <w:spacing w:after="2280"/>
    </w:pPr>
    <w:r>
      <w:rPr>
        <w:noProof/>
        <w:lang w:val="en-US"/>
      </w:rPr>
      <w:drawing>
        <wp:anchor distT="0" distB="0" distL="114300" distR="114300" simplePos="0" relativeHeight="251661312" behindDoc="1" locked="1" layoutInCell="1" allowOverlap="0" wp14:anchorId="7B509FAB" wp14:editId="5F0A6EF0">
          <wp:simplePos x="0" y="0"/>
          <wp:positionH relativeFrom="page">
            <wp:align>right</wp:align>
          </wp:positionH>
          <wp:positionV relativeFrom="page">
            <wp:align>top</wp:align>
          </wp:positionV>
          <wp:extent cx="2710180" cy="1730326"/>
          <wp:effectExtent l="25400" t="0" r="7620" b="0"/>
          <wp:wrapNone/>
          <wp:docPr id="13" name="Picture 13" descr="Server:CIPS:CIPS HR scans:4. CIPS Stationery:NEW_Generic_Word_Tplate:CIPS_Generic_Wo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CIPS:CIPS HR scans:4. CIPS Stationery:NEW_Generic_Word_Tplate:CIPS_Generic_Word_Logo.jpg"/>
                  <pic:cNvPicPr>
                    <a:picLocks noChangeAspect="1" noChangeArrowheads="1"/>
                  </pic:cNvPicPr>
                </pic:nvPicPr>
                <pic:blipFill>
                  <a:blip r:embed="rId1"/>
                  <a:srcRect/>
                  <a:stretch>
                    <a:fillRect/>
                  </a:stretch>
                </pic:blipFill>
                <pic:spPr bwMode="auto">
                  <a:xfrm>
                    <a:off x="0" y="0"/>
                    <a:ext cx="2710180" cy="1730326"/>
                  </a:xfrm>
                  <a:prstGeom prst="rect">
                    <a:avLst/>
                  </a:prstGeom>
                  <a:noFill/>
                  <a:ln w="9525">
                    <a:noFill/>
                    <a:miter lim="800000"/>
                    <a:headEnd/>
                    <a:tailEnd/>
                  </a:ln>
                </pic:spPr>
              </pic:pic>
            </a:graphicData>
          </a:graphic>
        </wp:anchor>
      </w:drawing>
    </w:r>
    <w:r>
      <w:rPr>
        <w:noProof/>
        <w:lang w:val="en-US"/>
      </w:rPr>
      <mc:AlternateContent>
        <mc:Choice Requires="wps">
          <w:drawing>
            <wp:anchor distT="4294967294" distB="4294967294" distL="114300" distR="114300" simplePos="0" relativeHeight="251659264" behindDoc="1" locked="1" layoutInCell="1" allowOverlap="1" wp14:anchorId="2E4EC4EE" wp14:editId="1EE5ACD7">
              <wp:simplePos x="0" y="0"/>
              <wp:positionH relativeFrom="page">
                <wp:posOffset>648335</wp:posOffset>
              </wp:positionH>
              <wp:positionV relativeFrom="page">
                <wp:posOffset>1800224</wp:posOffset>
              </wp:positionV>
              <wp:extent cx="6264275" cy="0"/>
              <wp:effectExtent l="0" t="0" r="22225"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64275" cy="0"/>
                      </a:xfrm>
                      <a:prstGeom prst="line">
                        <a:avLst/>
                      </a:prstGeom>
                      <a:ln w="158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C902DF" id="Straight Connector 1"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51.05pt,141.75pt" to="544.3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" strokecolor="#e7e6e6 [3214]" strokeweight="1.25pt">
              <v:stroke joinstyle="miter"/>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06C"/>
    <w:multiLevelType w:val="hybridMultilevel"/>
    <w:tmpl w:val="1C763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E44A36"/>
    <w:multiLevelType w:val="hybridMultilevel"/>
    <w:tmpl w:val="2A2C5A28"/>
    <w:lvl w:ilvl="0" w:tplc="BCE8B1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FB"/>
    <w:rsid w:val="000F18C2"/>
    <w:rsid w:val="00192315"/>
    <w:rsid w:val="001C1E65"/>
    <w:rsid w:val="003A5CD1"/>
    <w:rsid w:val="00415E71"/>
    <w:rsid w:val="006B7665"/>
    <w:rsid w:val="00867C87"/>
    <w:rsid w:val="008D34BC"/>
    <w:rsid w:val="008F5A83"/>
    <w:rsid w:val="00902F3B"/>
    <w:rsid w:val="00A256FB"/>
    <w:rsid w:val="00A57CDC"/>
    <w:rsid w:val="00AC0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41E8"/>
  <w15:docId w15:val="{616EAE06-0DE1-4DAE-8C9B-B5263C31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6FB"/>
    <w:pPr>
      <w:jc w:val="both"/>
    </w:pPr>
    <w:rPr>
      <w:rFonts w:ascii="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FB"/>
  </w:style>
  <w:style w:type="character" w:customStyle="1" w:styleId="HeaderChar">
    <w:name w:val="Header Char"/>
    <w:basedOn w:val="DefaultParagraphFont"/>
    <w:link w:val="Header"/>
    <w:uiPriority w:val="99"/>
    <w:rsid w:val="00A256FB"/>
    <w:rPr>
      <w:rFonts w:ascii="Calibri" w:hAnsi="Calibri"/>
      <w:sz w:val="22"/>
      <w:szCs w:val="22"/>
      <w:lang w:val="en-GB"/>
    </w:rPr>
  </w:style>
  <w:style w:type="paragraph" w:styleId="ListParagraph">
    <w:name w:val="List Paragraph"/>
    <w:basedOn w:val="Normal"/>
    <w:uiPriority w:val="34"/>
    <w:qFormat/>
    <w:rsid w:val="00A256FB"/>
    <w:pPr>
      <w:ind w:left="720"/>
      <w:contextualSpacing/>
    </w:pPr>
  </w:style>
  <w:style w:type="paragraph" w:styleId="Footer">
    <w:name w:val="footer"/>
    <w:basedOn w:val="Normal"/>
    <w:link w:val="FooterChar"/>
    <w:uiPriority w:val="99"/>
    <w:unhideWhenUsed/>
    <w:rsid w:val="00A256FB"/>
    <w:pPr>
      <w:tabs>
        <w:tab w:val="center" w:pos="4680"/>
        <w:tab w:val="right" w:pos="9360"/>
      </w:tabs>
    </w:pPr>
  </w:style>
  <w:style w:type="character" w:customStyle="1" w:styleId="FooterChar">
    <w:name w:val="Footer Char"/>
    <w:basedOn w:val="DefaultParagraphFont"/>
    <w:link w:val="Footer"/>
    <w:uiPriority w:val="99"/>
    <w:rsid w:val="00A256FB"/>
    <w:rPr>
      <w:rFonts w:ascii="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2020-01-13T10:04:00Z</dcterms:created>
  <dcterms:modified xsi:type="dcterms:W3CDTF">2020-01-13T10:04:00Z</dcterms:modified>
</cp:coreProperties>
</file>