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2C" w:rsidRPr="00B6492C" w:rsidRDefault="00074974" w:rsidP="00B6492C">
      <w:r w:rsidRPr="00074974">
        <w:t>The impact of oil price changes on the financial markets of the UK and Russia. Academic Level : Professional Paper details 1) Literature review: In-depth knowledge of what others have written on the subject, critically review established normative theories and past recent studies published mainly in Academic Journals, proper conceptual review, appropriate background review, clear articulation of main research questions raised by the literature/theory review, and convincing link made to the discussions on research methodology. (Length approx. 4000 words) 2) Findings and Analysis: In-depth analysis of the data actually collected, well-articulated arguments relating findings to initial objectives, provide a critical narrative that respond to the research question, individual judgements rendered and supported by sound arguments. (Length approx. 4000 words).</w:t>
      </w:r>
      <w:bookmarkStart w:id="0" w:name="_GoBack"/>
      <w:bookmarkEnd w:id="0"/>
    </w:p>
    <w:sectPr w:rsidR="00B6492C" w:rsidRPr="00B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74974"/>
    <w:rsid w:val="00086266"/>
    <w:rsid w:val="003745F5"/>
    <w:rsid w:val="00573131"/>
    <w:rsid w:val="00B6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A9"/>
  <w15:chartTrackingRefBased/>
  <w15:docId w15:val="{9159DF65-5A67-44DD-96E9-3B08C67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2020-02-02T07:50:00Z</dcterms:created>
  <dcterms:modified xsi:type="dcterms:W3CDTF">2020-02-02T07:50:00Z</dcterms:modified>
</cp:coreProperties>
</file>