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2770F" w14:textId="77777777" w:rsidR="00DE144F" w:rsidRDefault="00DE144F" w:rsidP="00DE144F">
      <w:bookmarkStart w:id="0" w:name="_GoBack"/>
      <w:r>
        <w:t>Economics of Unions</w:t>
      </w:r>
    </w:p>
    <w:p w14:paraId="2B6E4E12" w14:textId="77777777" w:rsidR="00DE144F" w:rsidRDefault="00DE144F" w:rsidP="00DE144F">
      <w:r>
        <w:t>Assignment</w:t>
      </w:r>
    </w:p>
    <w:p w14:paraId="5DDA6441" w14:textId="77777777" w:rsidR="00DE144F" w:rsidRDefault="00DE144F" w:rsidP="00DE144F">
      <w:r>
        <w:t xml:space="preserve">Your assignment is to analyze the assignment article using the economic concepts and theories covered in ECON 2P15. </w:t>
      </w:r>
    </w:p>
    <w:p w14:paraId="1E44FFD6" w14:textId="77777777" w:rsidR="00DE144F" w:rsidRDefault="00DE144F" w:rsidP="00DE144F">
      <w:r>
        <w:t>You may use any style you prefer, such as MLA, APA, etc. You can use other resources in your answer, but they must be cited properly. Your assignment should be 1000 words.</w:t>
      </w:r>
    </w:p>
    <w:p w14:paraId="0B968B5D" w14:textId="2CF23FB7" w:rsidR="00DE144F" w:rsidRDefault="00DE144F" w:rsidP="00DE144F">
      <w:pPr>
        <w:widowControl w:val="0"/>
        <w:spacing w:after="0" w:line="240" w:lineRule="auto"/>
        <w:rPr>
          <w:rFonts w:ascii="Times New Roman" w:eastAsia="Times New Roman" w:hAnsi="Times New Roman"/>
          <w:b/>
          <w:sz w:val="24"/>
          <w:szCs w:val="20"/>
          <w:lang w:val="en-US"/>
        </w:rPr>
      </w:pPr>
    </w:p>
    <w:p w14:paraId="64832007" w14:textId="15709080" w:rsidR="00176A06" w:rsidRDefault="00176A06" w:rsidP="00DE144F">
      <w:pPr>
        <w:widowControl w:val="0"/>
        <w:spacing w:after="0" w:line="240" w:lineRule="auto"/>
        <w:rPr>
          <w:rFonts w:ascii="Times New Roman" w:eastAsia="Times New Roman" w:hAnsi="Times New Roman"/>
          <w:b/>
          <w:sz w:val="24"/>
          <w:szCs w:val="20"/>
          <w:lang w:val="en-US"/>
        </w:rPr>
      </w:pPr>
    </w:p>
    <w:p w14:paraId="1A643DD1" w14:textId="12A44110" w:rsidR="00176A06" w:rsidRDefault="00176A06" w:rsidP="00DE144F">
      <w:pPr>
        <w:widowControl w:val="0"/>
        <w:spacing w:after="0" w:line="240" w:lineRule="auto"/>
        <w:rPr>
          <w:rFonts w:ascii="Times New Roman" w:eastAsia="Times New Roman" w:hAnsi="Times New Roman"/>
          <w:b/>
          <w:sz w:val="24"/>
          <w:szCs w:val="20"/>
          <w:lang w:val="en-US"/>
        </w:rPr>
      </w:pPr>
    </w:p>
    <w:p w14:paraId="4260B6E3" w14:textId="13550586" w:rsidR="00176A06" w:rsidRDefault="00176A06" w:rsidP="00DE144F">
      <w:pPr>
        <w:widowControl w:val="0"/>
        <w:spacing w:after="0" w:line="240" w:lineRule="auto"/>
        <w:rPr>
          <w:rFonts w:ascii="Times New Roman" w:eastAsia="Times New Roman" w:hAnsi="Times New Roman"/>
          <w:b/>
          <w:sz w:val="24"/>
          <w:szCs w:val="20"/>
          <w:lang w:val="en-US"/>
        </w:rPr>
      </w:pPr>
    </w:p>
    <w:p w14:paraId="3FC19E1A" w14:textId="01DB1CAC" w:rsidR="00176A06" w:rsidRDefault="00176A06" w:rsidP="00DE144F">
      <w:pPr>
        <w:widowControl w:val="0"/>
        <w:spacing w:after="0" w:line="240" w:lineRule="auto"/>
        <w:rPr>
          <w:rFonts w:ascii="Times New Roman" w:eastAsia="Times New Roman" w:hAnsi="Times New Roman"/>
          <w:b/>
          <w:sz w:val="24"/>
          <w:szCs w:val="20"/>
          <w:lang w:val="en-US"/>
        </w:rPr>
      </w:pPr>
    </w:p>
    <w:p w14:paraId="4DE7A210" w14:textId="77777777" w:rsidR="00176A06" w:rsidRDefault="00176A06" w:rsidP="00DE144F">
      <w:pPr>
        <w:widowControl w:val="0"/>
        <w:spacing w:after="0" w:line="240" w:lineRule="auto"/>
        <w:rPr>
          <w:rFonts w:ascii="Times New Roman" w:eastAsia="Times New Roman" w:hAnsi="Times New Roman"/>
          <w:b/>
          <w:sz w:val="24"/>
          <w:szCs w:val="20"/>
          <w:lang w:val="en-US"/>
        </w:rPr>
      </w:pPr>
    </w:p>
    <w:p w14:paraId="106F7AE5" w14:textId="2CEEBFF3" w:rsidR="00DE144F" w:rsidRPr="00DE144F" w:rsidRDefault="00DE144F" w:rsidP="00DE144F">
      <w:pPr>
        <w:widowControl w:val="0"/>
        <w:spacing w:after="0" w:line="240" w:lineRule="auto"/>
        <w:rPr>
          <w:rFonts w:ascii="Times New Roman" w:eastAsia="Times New Roman" w:hAnsi="Times New Roman"/>
          <w:b/>
          <w:bCs/>
          <w:i/>
          <w:iCs/>
          <w:sz w:val="24"/>
          <w:szCs w:val="20"/>
          <w:lang w:val="en-US"/>
        </w:rPr>
      </w:pPr>
      <w:r w:rsidRPr="00DE144F">
        <w:rPr>
          <w:b/>
          <w:bCs/>
          <w:i/>
          <w:iCs/>
        </w:rPr>
        <w:t>Concepts</w:t>
      </w:r>
      <w:r w:rsidRPr="00DE144F">
        <w:rPr>
          <w:rFonts w:ascii="SimSun" w:eastAsia="SimSun" w:hAnsi="SimSun" w:cs="SimSun" w:hint="eastAsia"/>
          <w:b/>
          <w:bCs/>
          <w:i/>
          <w:iCs/>
          <w:lang w:eastAsia="zh-CN"/>
        </w:rPr>
        <w:t>：</w:t>
      </w:r>
    </w:p>
    <w:p w14:paraId="456D5A7F" w14:textId="296D2C9A" w:rsidR="00DE144F" w:rsidRDefault="00DE144F" w:rsidP="00DE144F">
      <w:pPr>
        <w:widowControl w:val="0"/>
        <w:spacing w:after="0" w:line="240" w:lineRule="auto"/>
        <w:rPr>
          <w:rFonts w:ascii="Times New Roman" w:eastAsia="Times New Roman" w:hAnsi="Times New Roman"/>
          <w:sz w:val="24"/>
          <w:szCs w:val="20"/>
          <w:lang w:val="en-US"/>
        </w:rPr>
      </w:pPr>
      <w:r>
        <w:rPr>
          <w:rFonts w:ascii="Times New Roman" w:eastAsia="Times New Roman" w:hAnsi="Times New Roman"/>
          <w:b/>
          <w:sz w:val="24"/>
          <w:szCs w:val="20"/>
          <w:lang w:val="en-US"/>
        </w:rPr>
        <w:t xml:space="preserve">Readings:  </w:t>
      </w:r>
      <w:r>
        <w:rPr>
          <w:rFonts w:ascii="Times New Roman" w:eastAsia="Times New Roman" w:hAnsi="Times New Roman"/>
          <w:sz w:val="24"/>
          <w:szCs w:val="20"/>
          <w:lang w:val="en-US"/>
        </w:rPr>
        <w:t xml:space="preserve">A useful source for much of the theory and some of the empirical evidence considered in this course is </w:t>
      </w:r>
      <w:r>
        <w:rPr>
          <w:rFonts w:ascii="Times New Roman" w:eastAsia="Times New Roman" w:hAnsi="Times New Roman"/>
          <w:b/>
          <w:sz w:val="24"/>
          <w:szCs w:val="20"/>
          <w:lang w:val="en-US"/>
        </w:rPr>
        <w:t>Benjamin, D., M. Gunderson, and C. Riddell</w:t>
      </w:r>
      <w:r>
        <w:rPr>
          <w:rFonts w:ascii="Times New Roman" w:eastAsia="Times New Roman" w:hAnsi="Times New Roman"/>
          <w:sz w:val="24"/>
          <w:szCs w:val="20"/>
          <w:lang w:val="en-US"/>
        </w:rPr>
        <w:t xml:space="preserve">, </w:t>
      </w:r>
      <w:proofErr w:type="spellStart"/>
      <w:r>
        <w:rPr>
          <w:rFonts w:ascii="Times New Roman" w:eastAsia="Times New Roman" w:hAnsi="Times New Roman"/>
          <w:i/>
          <w:sz w:val="24"/>
          <w:szCs w:val="20"/>
          <w:lang w:val="en-US"/>
        </w:rPr>
        <w:t>Labour</w:t>
      </w:r>
      <w:proofErr w:type="spellEnd"/>
      <w:r>
        <w:rPr>
          <w:rFonts w:ascii="Times New Roman" w:eastAsia="Times New Roman" w:hAnsi="Times New Roman"/>
          <w:i/>
          <w:sz w:val="24"/>
          <w:szCs w:val="20"/>
          <w:lang w:val="en-US"/>
        </w:rPr>
        <w:t xml:space="preserve"> Market Economics</w:t>
      </w:r>
      <w:r>
        <w:rPr>
          <w:rFonts w:ascii="Times New Roman" w:eastAsia="Times New Roman" w:hAnsi="Times New Roman"/>
          <w:sz w:val="24"/>
          <w:szCs w:val="20"/>
          <w:lang w:val="en-US"/>
        </w:rPr>
        <w:t xml:space="preserve"> (any edition). Toronto: McGraw-Hill Ryerson.  This book is referred to as BGR for the remainder of the reading list and is on reserve in the library.</w:t>
      </w:r>
    </w:p>
    <w:p w14:paraId="0F358EA9" w14:textId="77777777" w:rsidR="00DE144F" w:rsidRDefault="00DE144F" w:rsidP="00DE144F">
      <w:pPr>
        <w:widowControl w:val="0"/>
        <w:spacing w:after="0" w:line="240" w:lineRule="auto"/>
        <w:rPr>
          <w:rFonts w:ascii="Times New Roman" w:eastAsia="Times New Roman" w:hAnsi="Times New Roman"/>
          <w:sz w:val="24"/>
          <w:szCs w:val="20"/>
          <w:lang w:val="en-US"/>
        </w:rPr>
      </w:pPr>
    </w:p>
    <w:p w14:paraId="14AE98AD" w14:textId="77777777" w:rsidR="00DE144F" w:rsidRDefault="00DE144F" w:rsidP="00DE144F">
      <w:pPr>
        <w:widowControl w:val="0"/>
        <w:spacing w:after="0" w:line="240" w:lineRule="auto"/>
        <w:ind w:left="720" w:hanging="720"/>
        <w:rPr>
          <w:rFonts w:ascii="Times New Roman" w:eastAsia="Times New Roman" w:hAnsi="Times New Roman"/>
          <w:b/>
          <w:sz w:val="24"/>
          <w:szCs w:val="20"/>
          <w:lang w:val="en-US"/>
        </w:rPr>
      </w:pPr>
      <w:r>
        <w:rPr>
          <w:rFonts w:ascii="Times New Roman" w:eastAsia="Times New Roman" w:hAnsi="Times New Roman"/>
          <w:b/>
          <w:sz w:val="24"/>
          <w:szCs w:val="20"/>
          <w:lang w:val="en-US"/>
        </w:rPr>
        <w:t>1.</w:t>
      </w:r>
      <w:r>
        <w:rPr>
          <w:rFonts w:ascii="Times New Roman" w:eastAsia="Times New Roman" w:hAnsi="Times New Roman"/>
          <w:b/>
          <w:sz w:val="24"/>
          <w:szCs w:val="20"/>
          <w:lang w:val="en-US"/>
        </w:rPr>
        <w:tab/>
        <w:t>Introduction to Industrial Relations in Canada</w:t>
      </w:r>
    </w:p>
    <w:p w14:paraId="0923EFEE" w14:textId="77777777" w:rsidR="00DE144F" w:rsidRDefault="00DE144F" w:rsidP="00DE144F">
      <w:pPr>
        <w:widowControl w:val="0"/>
        <w:spacing w:after="0" w:line="240" w:lineRule="auto"/>
        <w:ind w:left="720"/>
        <w:rPr>
          <w:rFonts w:ascii="Times New Roman" w:eastAsia="Times New Roman" w:hAnsi="Times New Roman"/>
          <w:sz w:val="24"/>
          <w:szCs w:val="20"/>
          <w:lang w:val="en-US"/>
        </w:rPr>
      </w:pPr>
      <w:r>
        <w:rPr>
          <w:rFonts w:ascii="Times New Roman" w:eastAsia="Times New Roman" w:hAnsi="Times New Roman"/>
          <w:sz w:val="24"/>
          <w:szCs w:val="20"/>
          <w:lang w:val="en-US"/>
        </w:rPr>
        <w:t xml:space="preserve">Gunderson, M. and A. </w:t>
      </w:r>
      <w:proofErr w:type="spellStart"/>
      <w:r>
        <w:rPr>
          <w:rFonts w:ascii="Times New Roman" w:eastAsia="Times New Roman" w:hAnsi="Times New Roman"/>
          <w:sz w:val="24"/>
          <w:szCs w:val="20"/>
          <w:lang w:val="en-US"/>
        </w:rPr>
        <w:t>Ponak</w:t>
      </w:r>
      <w:proofErr w:type="spellEnd"/>
      <w:r>
        <w:rPr>
          <w:rFonts w:ascii="Times New Roman" w:eastAsia="Times New Roman" w:hAnsi="Times New Roman"/>
          <w:sz w:val="24"/>
          <w:szCs w:val="20"/>
          <w:lang w:val="en-US"/>
        </w:rPr>
        <w:t xml:space="preserve"> (eds.). </w:t>
      </w:r>
      <w:r>
        <w:rPr>
          <w:rFonts w:ascii="Times New Roman" w:eastAsia="Times New Roman" w:hAnsi="Times New Roman"/>
          <w:i/>
          <w:sz w:val="24"/>
          <w:szCs w:val="20"/>
          <w:lang w:val="en-US"/>
        </w:rPr>
        <w:t>Union-Management Relations in Canada</w:t>
      </w:r>
      <w:r>
        <w:rPr>
          <w:rFonts w:ascii="Times New Roman" w:eastAsia="Times New Roman" w:hAnsi="Times New Roman"/>
          <w:sz w:val="24"/>
          <w:szCs w:val="20"/>
          <w:lang w:val="en-US"/>
        </w:rPr>
        <w:t xml:space="preserve"> (3</w:t>
      </w:r>
      <w:r>
        <w:rPr>
          <w:rFonts w:ascii="Times New Roman" w:eastAsia="Times New Roman" w:hAnsi="Times New Roman"/>
          <w:sz w:val="24"/>
          <w:szCs w:val="20"/>
          <w:vertAlign w:val="superscript"/>
          <w:lang w:val="en-US"/>
        </w:rPr>
        <w:t>rd</w:t>
      </w:r>
      <w:r>
        <w:rPr>
          <w:rFonts w:ascii="Times New Roman" w:eastAsia="Times New Roman" w:hAnsi="Times New Roman"/>
          <w:sz w:val="24"/>
          <w:szCs w:val="20"/>
          <w:lang w:val="en-US"/>
        </w:rPr>
        <w:t xml:space="preserve"> edition). Don Mills: Addison-Wesley, 1995, Chapters 2, 3 and 4.</w:t>
      </w:r>
    </w:p>
    <w:p w14:paraId="42B83116" w14:textId="77777777" w:rsidR="00DE144F" w:rsidRDefault="00DE144F" w:rsidP="00DE144F">
      <w:pPr>
        <w:widowControl w:val="0"/>
        <w:spacing w:after="0" w:line="240" w:lineRule="auto"/>
        <w:ind w:left="720"/>
        <w:rPr>
          <w:rFonts w:ascii="Times New Roman" w:eastAsia="Times New Roman" w:hAnsi="Times New Roman"/>
          <w:sz w:val="24"/>
          <w:szCs w:val="20"/>
          <w:lang w:val="en-US"/>
        </w:rPr>
      </w:pPr>
    </w:p>
    <w:p w14:paraId="2F3FF89A" w14:textId="77777777" w:rsidR="00DE144F" w:rsidRDefault="00DE144F" w:rsidP="00DE144F">
      <w:pPr>
        <w:widowControl w:val="0"/>
        <w:spacing w:after="100" w:line="240" w:lineRule="auto"/>
        <w:ind w:left="720" w:hanging="720"/>
        <w:rPr>
          <w:rFonts w:ascii="Times New Roman" w:eastAsia="Times New Roman" w:hAnsi="Times New Roman"/>
          <w:b/>
          <w:sz w:val="24"/>
          <w:szCs w:val="20"/>
          <w:lang w:val="en-US"/>
        </w:rPr>
      </w:pPr>
      <w:r>
        <w:rPr>
          <w:rFonts w:ascii="Times New Roman" w:eastAsia="Times New Roman" w:hAnsi="Times New Roman"/>
          <w:b/>
          <w:sz w:val="24"/>
          <w:szCs w:val="20"/>
          <w:lang w:val="en-US"/>
        </w:rPr>
        <w:t>2.</w:t>
      </w:r>
      <w:r>
        <w:rPr>
          <w:rFonts w:ascii="Times New Roman" w:eastAsia="Times New Roman" w:hAnsi="Times New Roman"/>
          <w:b/>
          <w:sz w:val="24"/>
          <w:szCs w:val="20"/>
          <w:lang w:val="en-US"/>
        </w:rPr>
        <w:tab/>
        <w:t>Union Growth and Incidence</w:t>
      </w:r>
    </w:p>
    <w:p w14:paraId="4430FD18" w14:textId="77777777" w:rsidR="00DE144F" w:rsidRDefault="00DE144F" w:rsidP="00DE144F">
      <w:pPr>
        <w:widowControl w:val="0"/>
        <w:spacing w:after="0" w:line="240" w:lineRule="auto"/>
        <w:ind w:left="720" w:hanging="720"/>
        <w:rPr>
          <w:rFonts w:ascii="Times New Roman" w:eastAsia="Times New Roman" w:hAnsi="Times New Roman"/>
          <w:b/>
          <w:sz w:val="24"/>
          <w:szCs w:val="20"/>
          <w:lang w:val="en-US"/>
        </w:rPr>
      </w:pPr>
      <w:r>
        <w:rPr>
          <w:rFonts w:ascii="Times New Roman" w:eastAsia="Times New Roman" w:hAnsi="Times New Roman"/>
          <w:b/>
          <w:sz w:val="24"/>
          <w:szCs w:val="20"/>
          <w:lang w:val="en-US"/>
        </w:rPr>
        <w:t>(a)</w:t>
      </w:r>
      <w:r>
        <w:rPr>
          <w:rFonts w:ascii="Times New Roman" w:eastAsia="Times New Roman" w:hAnsi="Times New Roman"/>
          <w:b/>
          <w:sz w:val="24"/>
          <w:szCs w:val="20"/>
          <w:lang w:val="en-US"/>
        </w:rPr>
        <w:tab/>
        <w:t>Background</w:t>
      </w:r>
      <w:r>
        <w:rPr>
          <w:rFonts w:ascii="Times New Roman" w:eastAsia="Times New Roman" w:hAnsi="Times New Roman"/>
          <w:sz w:val="24"/>
          <w:szCs w:val="20"/>
          <w:lang w:val="en-US"/>
        </w:rPr>
        <w:t>, Chapter 14 in BGR.</w:t>
      </w:r>
    </w:p>
    <w:p w14:paraId="266A50B2" w14:textId="77777777" w:rsidR="00DE144F" w:rsidRDefault="00DE144F" w:rsidP="00DE144F">
      <w:pPr>
        <w:widowControl w:val="0"/>
        <w:spacing w:after="0" w:line="240" w:lineRule="auto"/>
        <w:rPr>
          <w:rFonts w:ascii="Times New Roman" w:eastAsia="Times New Roman" w:hAnsi="Times New Roman"/>
          <w:sz w:val="24"/>
          <w:szCs w:val="20"/>
          <w:lang w:val="en-US"/>
        </w:rPr>
      </w:pPr>
      <w:r>
        <w:rPr>
          <w:rFonts w:ascii="Times New Roman" w:eastAsia="Times New Roman" w:hAnsi="Times New Roman"/>
          <w:sz w:val="24"/>
          <w:szCs w:val="20"/>
          <w:lang w:val="en-US"/>
        </w:rPr>
        <w:tab/>
        <w:t>“Union Growth and Incidence”</w:t>
      </w:r>
    </w:p>
    <w:p w14:paraId="57A6815F" w14:textId="77777777" w:rsidR="00DE144F" w:rsidRDefault="00DE144F" w:rsidP="00DE144F">
      <w:pPr>
        <w:widowControl w:val="0"/>
        <w:spacing w:after="0" w:line="240" w:lineRule="auto"/>
        <w:rPr>
          <w:rFonts w:ascii="Times New Roman" w:eastAsia="Times New Roman" w:hAnsi="Times New Roman"/>
          <w:b/>
          <w:sz w:val="24"/>
          <w:szCs w:val="20"/>
          <w:lang w:val="en-US"/>
        </w:rPr>
      </w:pPr>
      <w:r>
        <w:rPr>
          <w:rFonts w:ascii="Times New Roman" w:eastAsia="Times New Roman" w:hAnsi="Times New Roman"/>
          <w:b/>
          <w:sz w:val="24"/>
          <w:szCs w:val="20"/>
          <w:lang w:val="en-US"/>
        </w:rPr>
        <w:t>(b)</w:t>
      </w:r>
      <w:r>
        <w:rPr>
          <w:rFonts w:ascii="Times New Roman" w:eastAsia="Times New Roman" w:hAnsi="Times New Roman"/>
          <w:b/>
          <w:sz w:val="24"/>
          <w:szCs w:val="20"/>
          <w:lang w:val="en-US"/>
        </w:rPr>
        <w:tab/>
        <w:t>Regression Analysis Background</w:t>
      </w:r>
    </w:p>
    <w:p w14:paraId="29BE0902" w14:textId="77777777" w:rsidR="00DE144F" w:rsidRDefault="00DE144F" w:rsidP="00DE144F">
      <w:pPr>
        <w:widowControl w:val="0"/>
        <w:spacing w:after="0" w:line="240" w:lineRule="auto"/>
        <w:rPr>
          <w:rFonts w:ascii="Times New Roman" w:eastAsia="Times New Roman" w:hAnsi="Times New Roman"/>
          <w:sz w:val="24"/>
          <w:szCs w:val="20"/>
          <w:lang w:val="en-US"/>
        </w:rPr>
      </w:pPr>
      <w:r>
        <w:rPr>
          <w:rFonts w:ascii="Times New Roman" w:eastAsia="Times New Roman" w:hAnsi="Times New Roman"/>
          <w:sz w:val="24"/>
          <w:szCs w:val="20"/>
          <w:lang w:val="en-US"/>
        </w:rPr>
        <w:tab/>
        <w:t>“Summary of Regression Analysis”, Appendix to Chapter 1 in BGR</w:t>
      </w:r>
      <w:r>
        <w:rPr>
          <w:rFonts w:ascii="Times New Roman" w:eastAsia="Times New Roman" w:hAnsi="Times New Roman"/>
          <w:sz w:val="24"/>
          <w:szCs w:val="20"/>
          <w:lang w:val="en-US"/>
        </w:rPr>
        <w:tab/>
      </w:r>
    </w:p>
    <w:p w14:paraId="7A6C4FFD" w14:textId="77777777" w:rsidR="00DE144F" w:rsidRDefault="00DE144F" w:rsidP="00DE144F">
      <w:pPr>
        <w:widowControl w:val="0"/>
        <w:spacing w:after="0" w:line="240" w:lineRule="auto"/>
        <w:ind w:left="720" w:hanging="720"/>
        <w:rPr>
          <w:rFonts w:ascii="Times New Roman" w:eastAsia="Times New Roman" w:hAnsi="Times New Roman"/>
          <w:b/>
          <w:sz w:val="24"/>
          <w:szCs w:val="20"/>
          <w:lang w:val="en-US"/>
        </w:rPr>
      </w:pPr>
      <w:r>
        <w:rPr>
          <w:rFonts w:ascii="Times New Roman" w:eastAsia="Times New Roman" w:hAnsi="Times New Roman"/>
          <w:b/>
          <w:sz w:val="24"/>
          <w:szCs w:val="20"/>
          <w:lang w:val="en-US"/>
        </w:rPr>
        <w:t xml:space="preserve">(c) </w:t>
      </w:r>
      <w:r>
        <w:rPr>
          <w:rFonts w:ascii="Times New Roman" w:eastAsia="Times New Roman" w:hAnsi="Times New Roman"/>
          <w:b/>
          <w:sz w:val="24"/>
          <w:szCs w:val="20"/>
          <w:lang w:val="en-US"/>
        </w:rPr>
        <w:tab/>
        <w:t>Empirical Evidence</w:t>
      </w:r>
    </w:p>
    <w:p w14:paraId="28459AF1" w14:textId="77777777" w:rsidR="00DE144F" w:rsidRDefault="00DE144F" w:rsidP="00DE144F">
      <w:pPr>
        <w:widowControl w:val="0"/>
        <w:spacing w:after="0" w:line="240" w:lineRule="auto"/>
        <w:ind w:left="720"/>
        <w:rPr>
          <w:rFonts w:ascii="Times New Roman" w:eastAsia="Times New Roman" w:hAnsi="Times New Roman"/>
          <w:sz w:val="24"/>
          <w:szCs w:val="20"/>
          <w:lang w:val="en-US"/>
        </w:rPr>
      </w:pPr>
      <w:r>
        <w:rPr>
          <w:rFonts w:ascii="Times New Roman" w:eastAsia="Times New Roman" w:hAnsi="Times New Roman"/>
          <w:sz w:val="24"/>
          <w:szCs w:val="20"/>
          <w:lang w:val="en-US"/>
        </w:rPr>
        <w:t xml:space="preserve">Riddell, Craig W., “Unionization in Canada and the United States: A Tale of Two Countries”, in D. Card and R. Freeman, eds., </w:t>
      </w:r>
      <w:r>
        <w:rPr>
          <w:rFonts w:ascii="Times New Roman" w:eastAsia="Times New Roman" w:hAnsi="Times New Roman"/>
          <w:i/>
          <w:sz w:val="24"/>
          <w:szCs w:val="20"/>
          <w:lang w:val="en-US"/>
        </w:rPr>
        <w:t>Small Differences that Matter: Labor Markets and Income Maintenance in Canada and the United States</w:t>
      </w:r>
      <w:r>
        <w:rPr>
          <w:rFonts w:ascii="Times New Roman" w:eastAsia="Times New Roman" w:hAnsi="Times New Roman"/>
          <w:sz w:val="24"/>
          <w:szCs w:val="20"/>
          <w:lang w:val="en-US"/>
        </w:rPr>
        <w:t>. Chicago: University of Chicago Press, 1993.</w:t>
      </w:r>
    </w:p>
    <w:p w14:paraId="1155D71C" w14:textId="77777777" w:rsidR="00DE144F" w:rsidRDefault="00DE144F" w:rsidP="00DE144F">
      <w:pPr>
        <w:widowControl w:val="0"/>
        <w:spacing w:after="0" w:line="240" w:lineRule="auto"/>
        <w:ind w:left="720"/>
        <w:rPr>
          <w:rFonts w:ascii="Times New Roman" w:eastAsia="Times New Roman" w:hAnsi="Times New Roman"/>
          <w:sz w:val="24"/>
          <w:szCs w:val="20"/>
          <w:lang w:val="en-US"/>
        </w:rPr>
      </w:pPr>
    </w:p>
    <w:p w14:paraId="252A128F" w14:textId="77777777" w:rsidR="00DE144F" w:rsidRDefault="00DE144F" w:rsidP="00DE144F">
      <w:pPr>
        <w:widowControl w:val="0"/>
        <w:spacing w:after="80" w:line="240" w:lineRule="auto"/>
        <w:ind w:left="720" w:hanging="720"/>
        <w:rPr>
          <w:rFonts w:ascii="Times New Roman" w:eastAsia="Times New Roman" w:hAnsi="Times New Roman"/>
          <w:b/>
          <w:sz w:val="24"/>
          <w:szCs w:val="20"/>
          <w:lang w:val="en-US"/>
        </w:rPr>
      </w:pPr>
      <w:r>
        <w:rPr>
          <w:rFonts w:ascii="Times New Roman" w:eastAsia="Times New Roman" w:hAnsi="Times New Roman"/>
          <w:b/>
          <w:sz w:val="24"/>
          <w:szCs w:val="20"/>
          <w:lang w:val="en-US"/>
        </w:rPr>
        <w:t>3.</w:t>
      </w:r>
      <w:r>
        <w:rPr>
          <w:rFonts w:ascii="Times New Roman" w:eastAsia="Times New Roman" w:hAnsi="Times New Roman"/>
          <w:b/>
          <w:sz w:val="24"/>
          <w:szCs w:val="20"/>
          <w:lang w:val="en-US"/>
        </w:rPr>
        <w:tab/>
        <w:t>Wage and Employment Determination under Collective Bargaining</w:t>
      </w:r>
    </w:p>
    <w:p w14:paraId="5A16B311" w14:textId="77777777" w:rsidR="00DE144F" w:rsidRDefault="00DE144F" w:rsidP="00DE144F">
      <w:pPr>
        <w:widowControl w:val="0"/>
        <w:spacing w:after="0" w:line="240" w:lineRule="auto"/>
        <w:rPr>
          <w:rFonts w:ascii="Times New Roman" w:eastAsia="Times New Roman" w:hAnsi="Times New Roman"/>
          <w:b/>
          <w:sz w:val="24"/>
          <w:szCs w:val="20"/>
          <w:lang w:val="en-US"/>
        </w:rPr>
      </w:pPr>
      <w:r>
        <w:rPr>
          <w:rFonts w:ascii="Times New Roman" w:eastAsia="Times New Roman" w:hAnsi="Times New Roman"/>
          <w:b/>
          <w:sz w:val="24"/>
          <w:szCs w:val="20"/>
          <w:lang w:val="en-US"/>
        </w:rPr>
        <w:t>(a)</w:t>
      </w:r>
      <w:r>
        <w:rPr>
          <w:rFonts w:ascii="Times New Roman" w:eastAsia="Times New Roman" w:hAnsi="Times New Roman"/>
          <w:b/>
          <w:sz w:val="24"/>
          <w:szCs w:val="20"/>
          <w:lang w:val="en-US"/>
        </w:rPr>
        <w:tab/>
      </w:r>
      <w:proofErr w:type="spellStart"/>
      <w:r>
        <w:rPr>
          <w:rFonts w:ascii="Times New Roman" w:eastAsia="Times New Roman" w:hAnsi="Times New Roman"/>
          <w:b/>
          <w:sz w:val="24"/>
          <w:szCs w:val="20"/>
          <w:lang w:val="en-US"/>
        </w:rPr>
        <w:t>Labour</w:t>
      </w:r>
      <w:proofErr w:type="spellEnd"/>
      <w:r>
        <w:rPr>
          <w:rFonts w:ascii="Times New Roman" w:eastAsia="Times New Roman" w:hAnsi="Times New Roman"/>
          <w:b/>
          <w:sz w:val="24"/>
          <w:szCs w:val="20"/>
          <w:lang w:val="en-US"/>
        </w:rPr>
        <w:t xml:space="preserve"> Demand Background</w:t>
      </w:r>
    </w:p>
    <w:p w14:paraId="33E07914" w14:textId="77777777" w:rsidR="00DE144F" w:rsidRDefault="00DE144F" w:rsidP="00DE144F">
      <w:pPr>
        <w:widowControl w:val="0"/>
        <w:spacing w:after="0" w:line="240" w:lineRule="auto"/>
        <w:ind w:left="720"/>
        <w:rPr>
          <w:rFonts w:ascii="Times New Roman" w:eastAsia="Times New Roman" w:hAnsi="Times New Roman"/>
          <w:sz w:val="24"/>
          <w:szCs w:val="20"/>
          <w:lang w:val="en-US"/>
        </w:rPr>
      </w:pPr>
      <w:r>
        <w:rPr>
          <w:rFonts w:ascii="Times New Roman" w:eastAsia="Times New Roman" w:hAnsi="Times New Roman"/>
          <w:sz w:val="24"/>
          <w:szCs w:val="20"/>
          <w:lang w:val="en-US"/>
        </w:rPr>
        <w:t xml:space="preserve">“Demand for </w:t>
      </w:r>
      <w:proofErr w:type="spellStart"/>
      <w:r>
        <w:rPr>
          <w:rFonts w:ascii="Times New Roman" w:eastAsia="Times New Roman" w:hAnsi="Times New Roman"/>
          <w:sz w:val="24"/>
          <w:szCs w:val="20"/>
          <w:lang w:val="en-US"/>
        </w:rPr>
        <w:t>Labour</w:t>
      </w:r>
      <w:proofErr w:type="spellEnd"/>
      <w:r>
        <w:rPr>
          <w:rFonts w:ascii="Times New Roman" w:eastAsia="Times New Roman" w:hAnsi="Times New Roman"/>
          <w:sz w:val="24"/>
          <w:szCs w:val="20"/>
          <w:lang w:val="en-US"/>
        </w:rPr>
        <w:t xml:space="preserve"> in Competitive </w:t>
      </w:r>
      <w:proofErr w:type="spellStart"/>
      <w:r>
        <w:rPr>
          <w:rFonts w:ascii="Times New Roman" w:eastAsia="Times New Roman" w:hAnsi="Times New Roman"/>
          <w:sz w:val="24"/>
          <w:szCs w:val="20"/>
          <w:lang w:val="en-US"/>
        </w:rPr>
        <w:t>Labour</w:t>
      </w:r>
      <w:proofErr w:type="spellEnd"/>
      <w:r>
        <w:rPr>
          <w:rFonts w:ascii="Times New Roman" w:eastAsia="Times New Roman" w:hAnsi="Times New Roman"/>
          <w:sz w:val="24"/>
          <w:szCs w:val="20"/>
          <w:lang w:val="en-US"/>
        </w:rPr>
        <w:t xml:space="preserve"> Markets”, Chapter 5 in BGR.</w:t>
      </w:r>
    </w:p>
    <w:p w14:paraId="4591CF4E" w14:textId="77777777" w:rsidR="00DE144F" w:rsidRDefault="00DE144F" w:rsidP="00DE144F">
      <w:pPr>
        <w:widowControl w:val="0"/>
        <w:spacing w:after="0" w:line="240" w:lineRule="auto"/>
        <w:rPr>
          <w:rFonts w:ascii="Times New Roman" w:eastAsia="Times New Roman" w:hAnsi="Times New Roman"/>
          <w:b/>
          <w:sz w:val="24"/>
          <w:szCs w:val="20"/>
          <w:lang w:val="en-US"/>
        </w:rPr>
      </w:pPr>
      <w:r>
        <w:rPr>
          <w:rFonts w:ascii="Times New Roman" w:eastAsia="Times New Roman" w:hAnsi="Times New Roman"/>
          <w:b/>
          <w:sz w:val="24"/>
          <w:szCs w:val="20"/>
          <w:lang w:val="en-US"/>
        </w:rPr>
        <w:t>(b)</w:t>
      </w:r>
      <w:r>
        <w:rPr>
          <w:rFonts w:ascii="Times New Roman" w:eastAsia="Times New Roman" w:hAnsi="Times New Roman"/>
          <w:b/>
          <w:sz w:val="24"/>
          <w:szCs w:val="20"/>
          <w:lang w:val="en-US"/>
        </w:rPr>
        <w:tab/>
        <w:t>Union Preferences Background</w:t>
      </w:r>
    </w:p>
    <w:p w14:paraId="05CAB16A" w14:textId="77777777" w:rsidR="00DE144F" w:rsidRDefault="00DE144F" w:rsidP="00DE144F">
      <w:pPr>
        <w:widowControl w:val="0"/>
        <w:spacing w:after="0" w:line="240" w:lineRule="auto"/>
        <w:ind w:left="720"/>
        <w:rPr>
          <w:rFonts w:ascii="Times New Roman" w:eastAsia="Times New Roman" w:hAnsi="Times New Roman"/>
          <w:sz w:val="24"/>
          <w:szCs w:val="20"/>
          <w:lang w:val="en-US"/>
        </w:rPr>
      </w:pPr>
      <w:proofErr w:type="spellStart"/>
      <w:r>
        <w:rPr>
          <w:rFonts w:ascii="Times New Roman" w:eastAsia="Times New Roman" w:hAnsi="Times New Roman"/>
          <w:sz w:val="24"/>
          <w:szCs w:val="20"/>
          <w:lang w:val="en-US"/>
        </w:rPr>
        <w:t>Pencavel</w:t>
      </w:r>
      <w:proofErr w:type="spellEnd"/>
      <w:r>
        <w:rPr>
          <w:rFonts w:ascii="Times New Roman" w:eastAsia="Times New Roman" w:hAnsi="Times New Roman"/>
          <w:sz w:val="24"/>
          <w:szCs w:val="20"/>
          <w:lang w:val="en-US"/>
        </w:rPr>
        <w:t xml:space="preserve">, J., </w:t>
      </w:r>
      <w:proofErr w:type="spellStart"/>
      <w:r>
        <w:rPr>
          <w:rFonts w:ascii="Times New Roman" w:eastAsia="Times New Roman" w:hAnsi="Times New Roman"/>
          <w:i/>
          <w:sz w:val="24"/>
          <w:szCs w:val="20"/>
          <w:lang w:val="en-US"/>
        </w:rPr>
        <w:t>Labour</w:t>
      </w:r>
      <w:proofErr w:type="spellEnd"/>
      <w:r>
        <w:rPr>
          <w:rFonts w:ascii="Times New Roman" w:eastAsia="Times New Roman" w:hAnsi="Times New Roman"/>
          <w:i/>
          <w:sz w:val="24"/>
          <w:szCs w:val="20"/>
          <w:lang w:val="en-US"/>
        </w:rPr>
        <w:t xml:space="preserve"> Markets Under Trade Unionism</w:t>
      </w:r>
      <w:r>
        <w:rPr>
          <w:rFonts w:ascii="Times New Roman" w:eastAsia="Times New Roman" w:hAnsi="Times New Roman"/>
          <w:sz w:val="24"/>
          <w:szCs w:val="20"/>
          <w:lang w:val="en-US"/>
        </w:rPr>
        <w:t>.  Blackwell, 1991, Chapter 3.</w:t>
      </w:r>
    </w:p>
    <w:p w14:paraId="4C04ED53" w14:textId="77777777" w:rsidR="00DE144F" w:rsidRDefault="00DE144F" w:rsidP="00DE144F">
      <w:pPr>
        <w:widowControl w:val="0"/>
        <w:spacing w:after="0" w:line="240" w:lineRule="auto"/>
        <w:rPr>
          <w:rFonts w:ascii="Times New Roman" w:eastAsia="Times New Roman" w:hAnsi="Times New Roman"/>
          <w:b/>
          <w:sz w:val="24"/>
          <w:szCs w:val="20"/>
          <w:lang w:val="en-US"/>
        </w:rPr>
      </w:pPr>
      <w:r>
        <w:rPr>
          <w:rFonts w:ascii="Times New Roman" w:eastAsia="Times New Roman" w:hAnsi="Times New Roman"/>
          <w:b/>
          <w:sz w:val="24"/>
          <w:szCs w:val="20"/>
          <w:lang w:val="en-US"/>
        </w:rPr>
        <w:t>(c)</w:t>
      </w:r>
      <w:r>
        <w:rPr>
          <w:rFonts w:ascii="Times New Roman" w:eastAsia="Times New Roman" w:hAnsi="Times New Roman"/>
          <w:b/>
          <w:sz w:val="24"/>
          <w:szCs w:val="20"/>
          <w:lang w:val="en-US"/>
        </w:rPr>
        <w:tab/>
        <w:t>Theory</w:t>
      </w:r>
    </w:p>
    <w:p w14:paraId="74115D5E" w14:textId="77777777" w:rsidR="00DE144F" w:rsidRDefault="00DE144F" w:rsidP="00DE144F">
      <w:pPr>
        <w:widowControl w:val="0"/>
        <w:spacing w:after="0" w:line="240" w:lineRule="auto"/>
        <w:ind w:left="720"/>
        <w:rPr>
          <w:rFonts w:ascii="Times New Roman" w:eastAsia="Times New Roman" w:hAnsi="Times New Roman"/>
          <w:sz w:val="24"/>
          <w:szCs w:val="20"/>
          <w:lang w:val="en-US"/>
        </w:rPr>
      </w:pPr>
      <w:r>
        <w:rPr>
          <w:rFonts w:ascii="Times New Roman" w:eastAsia="Times New Roman" w:hAnsi="Times New Roman"/>
          <w:sz w:val="24"/>
          <w:szCs w:val="20"/>
          <w:lang w:val="en-US"/>
        </w:rPr>
        <w:lastRenderedPageBreak/>
        <w:t>“Wage and Employment Determination Under Collective Bargaining”, Chapter 15 in BGR</w:t>
      </w:r>
    </w:p>
    <w:bookmarkEnd w:id="0"/>
    <w:p w14:paraId="5937E5A5" w14:textId="77777777" w:rsidR="00DE144F" w:rsidRDefault="00DE144F" w:rsidP="00DE144F">
      <w:pPr>
        <w:widowControl w:val="0"/>
        <w:spacing w:after="0" w:line="240" w:lineRule="auto"/>
        <w:ind w:left="720" w:hanging="720"/>
        <w:rPr>
          <w:rFonts w:ascii="Times New Roman" w:eastAsia="Times New Roman" w:hAnsi="Times New Roman"/>
          <w:b/>
          <w:sz w:val="24"/>
          <w:szCs w:val="20"/>
          <w:lang w:val="en-US"/>
        </w:rPr>
      </w:pPr>
      <w:r>
        <w:rPr>
          <w:rFonts w:ascii="Times New Roman" w:eastAsia="Times New Roman" w:hAnsi="Times New Roman"/>
          <w:b/>
          <w:sz w:val="24"/>
          <w:szCs w:val="20"/>
          <w:lang w:val="en-US"/>
        </w:rPr>
        <w:t>(d)</w:t>
      </w:r>
      <w:r>
        <w:rPr>
          <w:rFonts w:ascii="Times New Roman" w:eastAsia="Times New Roman" w:hAnsi="Times New Roman"/>
          <w:b/>
          <w:sz w:val="24"/>
          <w:szCs w:val="20"/>
          <w:lang w:val="en-US"/>
        </w:rPr>
        <w:tab/>
        <w:t>Empirical Evidence</w:t>
      </w:r>
    </w:p>
    <w:p w14:paraId="5071C694" w14:textId="77777777" w:rsidR="00DE144F" w:rsidRDefault="00DE144F" w:rsidP="00DE144F">
      <w:pPr>
        <w:widowControl w:val="0"/>
        <w:numPr>
          <w:ilvl w:val="2"/>
          <w:numId w:val="1"/>
        </w:numPr>
        <w:tabs>
          <w:tab w:val="left" w:pos="1080"/>
        </w:tabs>
        <w:spacing w:after="0" w:line="240" w:lineRule="auto"/>
        <w:ind w:left="1080"/>
        <w:rPr>
          <w:rFonts w:ascii="Times New Roman" w:eastAsia="Times New Roman" w:hAnsi="Times New Roman"/>
          <w:sz w:val="24"/>
          <w:szCs w:val="20"/>
          <w:lang w:val="en-US"/>
        </w:rPr>
      </w:pPr>
      <w:proofErr w:type="spellStart"/>
      <w:r>
        <w:rPr>
          <w:rFonts w:ascii="Times New Roman" w:eastAsia="Times New Roman" w:hAnsi="Times New Roman"/>
          <w:sz w:val="24"/>
          <w:szCs w:val="20"/>
          <w:lang w:val="en-US"/>
        </w:rPr>
        <w:t>Martinello</w:t>
      </w:r>
      <w:proofErr w:type="spellEnd"/>
      <w:r>
        <w:rPr>
          <w:rFonts w:ascii="Times New Roman" w:eastAsia="Times New Roman" w:hAnsi="Times New Roman"/>
          <w:sz w:val="24"/>
          <w:szCs w:val="20"/>
          <w:lang w:val="en-US"/>
        </w:rPr>
        <w:t xml:space="preserve">, Felice (1989), “Wage and Employment Determination in a Unionized Industry: The IWA and the British Columbia Wood Products Industry”, </w:t>
      </w:r>
      <w:r>
        <w:rPr>
          <w:rFonts w:ascii="Times New Roman" w:eastAsia="Times New Roman" w:hAnsi="Times New Roman"/>
          <w:i/>
          <w:sz w:val="24"/>
          <w:szCs w:val="20"/>
          <w:lang w:val="en-US"/>
        </w:rPr>
        <w:t>Journal of Labor Economics</w:t>
      </w:r>
      <w:r>
        <w:rPr>
          <w:rFonts w:ascii="Times New Roman" w:eastAsia="Times New Roman" w:hAnsi="Times New Roman"/>
          <w:sz w:val="24"/>
          <w:szCs w:val="20"/>
          <w:lang w:val="en-US"/>
        </w:rPr>
        <w:t>, 7(3): 303-330.</w:t>
      </w:r>
    </w:p>
    <w:p w14:paraId="37DBFB3A" w14:textId="77777777" w:rsidR="00DE144F" w:rsidRDefault="00DE144F" w:rsidP="00DE144F">
      <w:pPr>
        <w:widowControl w:val="0"/>
        <w:numPr>
          <w:ilvl w:val="2"/>
          <w:numId w:val="1"/>
        </w:numPr>
        <w:tabs>
          <w:tab w:val="left" w:pos="1080"/>
        </w:tabs>
        <w:spacing w:after="0" w:line="240" w:lineRule="auto"/>
        <w:ind w:left="1080"/>
        <w:rPr>
          <w:rFonts w:ascii="Times New Roman" w:eastAsia="Times New Roman" w:hAnsi="Times New Roman"/>
          <w:sz w:val="24"/>
          <w:szCs w:val="20"/>
          <w:lang w:val="en-US"/>
        </w:rPr>
      </w:pPr>
      <w:r>
        <w:rPr>
          <w:rFonts w:ascii="Times New Roman" w:eastAsia="Times New Roman" w:hAnsi="Times New Roman"/>
          <w:sz w:val="24"/>
          <w:szCs w:val="20"/>
          <w:lang w:val="en-US"/>
        </w:rPr>
        <w:t xml:space="preserve">Boal, W. and J. </w:t>
      </w:r>
      <w:proofErr w:type="spellStart"/>
      <w:r>
        <w:rPr>
          <w:rFonts w:ascii="Times New Roman" w:eastAsia="Times New Roman" w:hAnsi="Times New Roman"/>
          <w:sz w:val="24"/>
          <w:szCs w:val="20"/>
          <w:lang w:val="en-US"/>
        </w:rPr>
        <w:t>Pencavel</w:t>
      </w:r>
      <w:proofErr w:type="spellEnd"/>
      <w:r>
        <w:rPr>
          <w:rFonts w:ascii="Times New Roman" w:eastAsia="Times New Roman" w:hAnsi="Times New Roman"/>
          <w:sz w:val="24"/>
          <w:szCs w:val="20"/>
          <w:lang w:val="en-US"/>
        </w:rPr>
        <w:t xml:space="preserve"> (1994), “The Effects of Labor Unions on Employment, Wages, and Days of Operation: Coal Mining in West Virginia”, </w:t>
      </w:r>
      <w:r>
        <w:rPr>
          <w:rFonts w:ascii="Times New Roman" w:eastAsia="Times New Roman" w:hAnsi="Times New Roman"/>
          <w:i/>
          <w:sz w:val="24"/>
          <w:szCs w:val="20"/>
          <w:lang w:val="en-US"/>
        </w:rPr>
        <w:t>Quarterly Journal of Economics</w:t>
      </w:r>
      <w:r>
        <w:rPr>
          <w:rFonts w:ascii="Times New Roman" w:eastAsia="Times New Roman" w:hAnsi="Times New Roman"/>
          <w:sz w:val="24"/>
          <w:szCs w:val="20"/>
          <w:lang w:val="en-US"/>
        </w:rPr>
        <w:t>, 109: 267-298.</w:t>
      </w:r>
    </w:p>
    <w:p w14:paraId="0D41A349" w14:textId="77777777" w:rsidR="00DE144F" w:rsidRDefault="00DE144F" w:rsidP="00DE144F">
      <w:pPr>
        <w:widowControl w:val="0"/>
        <w:spacing w:after="0" w:line="240" w:lineRule="auto"/>
        <w:ind w:left="720"/>
        <w:rPr>
          <w:rFonts w:ascii="Times New Roman" w:eastAsia="Times New Roman" w:hAnsi="Times New Roman"/>
          <w:sz w:val="24"/>
          <w:szCs w:val="20"/>
          <w:lang w:val="en-US"/>
        </w:rPr>
      </w:pPr>
    </w:p>
    <w:p w14:paraId="2A21D860" w14:textId="77777777" w:rsidR="00DE144F" w:rsidRDefault="00DE144F" w:rsidP="00DE144F">
      <w:pPr>
        <w:widowControl w:val="0"/>
        <w:spacing w:after="0" w:line="240" w:lineRule="auto"/>
        <w:rPr>
          <w:rFonts w:ascii="Times New Roman" w:eastAsia="Times New Roman" w:hAnsi="Times New Roman"/>
          <w:sz w:val="24"/>
          <w:szCs w:val="20"/>
          <w:lang w:val="en-US"/>
        </w:rPr>
      </w:pPr>
      <w:r>
        <w:rPr>
          <w:rFonts w:ascii="Times New Roman" w:eastAsia="Times New Roman" w:hAnsi="Times New Roman"/>
          <w:b/>
          <w:sz w:val="24"/>
          <w:szCs w:val="20"/>
          <w:lang w:val="en-US"/>
        </w:rPr>
        <w:t>4.</w:t>
      </w:r>
      <w:r>
        <w:rPr>
          <w:rFonts w:ascii="Times New Roman" w:eastAsia="Times New Roman" w:hAnsi="Times New Roman"/>
          <w:b/>
          <w:sz w:val="24"/>
          <w:szCs w:val="20"/>
          <w:lang w:val="en-US"/>
        </w:rPr>
        <w:tab/>
        <w:t>Union Impact on Wages</w:t>
      </w:r>
    </w:p>
    <w:p w14:paraId="6F769ED5" w14:textId="77777777" w:rsidR="00DE144F" w:rsidRDefault="00DE144F" w:rsidP="00DE144F">
      <w:pPr>
        <w:widowControl w:val="0"/>
        <w:numPr>
          <w:ilvl w:val="0"/>
          <w:numId w:val="2"/>
        </w:numPr>
        <w:tabs>
          <w:tab w:val="left" w:pos="1080"/>
        </w:tabs>
        <w:spacing w:after="0" w:line="240" w:lineRule="auto"/>
        <w:ind w:firstLine="720"/>
        <w:rPr>
          <w:rFonts w:ascii="Times New Roman" w:eastAsia="Times New Roman" w:hAnsi="Times New Roman"/>
          <w:sz w:val="24"/>
          <w:szCs w:val="20"/>
          <w:lang w:val="en-US"/>
        </w:rPr>
      </w:pPr>
      <w:r>
        <w:rPr>
          <w:rFonts w:ascii="Times New Roman" w:eastAsia="Times New Roman" w:hAnsi="Times New Roman"/>
          <w:sz w:val="24"/>
          <w:szCs w:val="20"/>
          <w:lang w:val="en-US"/>
        </w:rPr>
        <w:t>“Union Impact on Wage and Nonwage Outcomes”, Chapter 16 in BGR, pp. 544-566.</w:t>
      </w:r>
    </w:p>
    <w:p w14:paraId="34B847EB" w14:textId="77777777" w:rsidR="00DE144F" w:rsidRDefault="00DE144F" w:rsidP="00DE144F">
      <w:pPr>
        <w:widowControl w:val="0"/>
        <w:numPr>
          <w:ilvl w:val="0"/>
          <w:numId w:val="2"/>
        </w:numPr>
        <w:tabs>
          <w:tab w:val="left" w:pos="1170"/>
        </w:tabs>
        <w:spacing w:after="0" w:line="240" w:lineRule="auto"/>
        <w:ind w:left="1170" w:hanging="450"/>
        <w:rPr>
          <w:rFonts w:ascii="Times New Roman" w:eastAsia="Times New Roman" w:hAnsi="Times New Roman"/>
          <w:sz w:val="24"/>
          <w:szCs w:val="20"/>
          <w:lang w:val="en-US"/>
        </w:rPr>
      </w:pPr>
      <w:r>
        <w:rPr>
          <w:rFonts w:ascii="Times New Roman" w:eastAsia="Times New Roman" w:hAnsi="Times New Roman"/>
          <w:sz w:val="24"/>
          <w:szCs w:val="20"/>
          <w:lang w:val="en-US"/>
        </w:rPr>
        <w:t xml:space="preserve">Freeman, R.R. (1982), “Union Wage Practices and Wage Dispersion within Establishments”, </w:t>
      </w:r>
      <w:r>
        <w:rPr>
          <w:rFonts w:ascii="Times New Roman" w:eastAsia="Times New Roman" w:hAnsi="Times New Roman"/>
          <w:i/>
          <w:sz w:val="24"/>
          <w:szCs w:val="20"/>
          <w:lang w:val="en-US"/>
        </w:rPr>
        <w:t>Industrial and Labor Relations Review</w:t>
      </w:r>
      <w:r>
        <w:rPr>
          <w:rFonts w:ascii="Times New Roman" w:eastAsia="Times New Roman" w:hAnsi="Times New Roman"/>
          <w:sz w:val="24"/>
          <w:szCs w:val="20"/>
          <w:lang w:val="en-US"/>
        </w:rPr>
        <w:t xml:space="preserve"> 36:3-21.</w:t>
      </w:r>
    </w:p>
    <w:p w14:paraId="1CABC3A3" w14:textId="77777777" w:rsidR="00DE144F" w:rsidRDefault="00DE144F" w:rsidP="00DE144F">
      <w:pPr>
        <w:widowControl w:val="0"/>
        <w:numPr>
          <w:ilvl w:val="0"/>
          <w:numId w:val="2"/>
        </w:numPr>
        <w:tabs>
          <w:tab w:val="left" w:pos="1170"/>
        </w:tabs>
        <w:spacing w:after="0" w:line="240" w:lineRule="auto"/>
        <w:ind w:left="1170" w:hanging="450"/>
        <w:rPr>
          <w:rFonts w:ascii="Times New Roman" w:eastAsia="Times New Roman" w:hAnsi="Times New Roman"/>
          <w:sz w:val="24"/>
          <w:szCs w:val="20"/>
          <w:lang w:val="en-US"/>
        </w:rPr>
      </w:pPr>
      <w:r>
        <w:rPr>
          <w:rFonts w:ascii="Times New Roman" w:eastAsia="Times New Roman" w:hAnsi="Times New Roman"/>
          <w:sz w:val="24"/>
          <w:szCs w:val="20"/>
          <w:lang w:val="en-US"/>
        </w:rPr>
        <w:t xml:space="preserve"> Lemieux, T., “Unions and Wage Inequality in Canada and the United States”, in D. Card and R.B. Freeman, eds., </w:t>
      </w:r>
      <w:r>
        <w:rPr>
          <w:rFonts w:ascii="Times New Roman" w:eastAsia="Times New Roman" w:hAnsi="Times New Roman"/>
          <w:i/>
          <w:sz w:val="24"/>
          <w:szCs w:val="20"/>
          <w:lang w:val="en-US"/>
        </w:rPr>
        <w:t>Small Differences that Matter: Labor Markets and Income Maintenance in Canada and the United States</w:t>
      </w:r>
      <w:r>
        <w:rPr>
          <w:rFonts w:ascii="Times New Roman" w:eastAsia="Times New Roman" w:hAnsi="Times New Roman"/>
          <w:sz w:val="24"/>
          <w:szCs w:val="20"/>
          <w:lang w:val="en-US"/>
        </w:rPr>
        <w:t>.  Chicago: University of Chicago Press, 1993.</w:t>
      </w:r>
    </w:p>
    <w:p w14:paraId="047CFFB6" w14:textId="77777777" w:rsidR="00DE144F" w:rsidRDefault="00DE144F" w:rsidP="00DE144F">
      <w:pPr>
        <w:widowControl w:val="0"/>
        <w:spacing w:after="0" w:line="240" w:lineRule="auto"/>
        <w:ind w:left="720"/>
        <w:rPr>
          <w:rFonts w:ascii="Times New Roman" w:eastAsia="Times New Roman" w:hAnsi="Times New Roman"/>
          <w:sz w:val="24"/>
          <w:szCs w:val="20"/>
          <w:lang w:val="en-US"/>
        </w:rPr>
      </w:pPr>
    </w:p>
    <w:p w14:paraId="4A6AA522" w14:textId="77777777" w:rsidR="00DE144F" w:rsidRDefault="00DE144F" w:rsidP="00DE144F">
      <w:pPr>
        <w:widowControl w:val="0"/>
        <w:spacing w:after="80" w:line="240" w:lineRule="auto"/>
        <w:rPr>
          <w:rFonts w:ascii="Times New Roman" w:eastAsia="Times New Roman" w:hAnsi="Times New Roman"/>
          <w:sz w:val="24"/>
          <w:szCs w:val="20"/>
          <w:lang w:val="en-US"/>
        </w:rPr>
      </w:pPr>
      <w:r>
        <w:rPr>
          <w:rFonts w:ascii="Times New Roman" w:eastAsia="Times New Roman" w:hAnsi="Times New Roman"/>
          <w:b/>
          <w:sz w:val="24"/>
          <w:szCs w:val="20"/>
          <w:lang w:val="en-US"/>
        </w:rPr>
        <w:t>5.</w:t>
      </w:r>
      <w:r>
        <w:rPr>
          <w:rFonts w:ascii="Times New Roman" w:eastAsia="Times New Roman" w:hAnsi="Times New Roman"/>
          <w:b/>
          <w:sz w:val="24"/>
          <w:szCs w:val="20"/>
          <w:lang w:val="en-US"/>
        </w:rPr>
        <w:tab/>
        <w:t>Collective Bargaining Disputes</w:t>
      </w:r>
    </w:p>
    <w:p w14:paraId="784DF625" w14:textId="77777777" w:rsidR="00DE144F" w:rsidRDefault="00DE144F" w:rsidP="00DE144F">
      <w:pPr>
        <w:widowControl w:val="0"/>
        <w:spacing w:after="0" w:line="240" w:lineRule="auto"/>
        <w:rPr>
          <w:rFonts w:ascii="Times New Roman" w:eastAsia="Times New Roman" w:hAnsi="Times New Roman"/>
          <w:b/>
          <w:sz w:val="24"/>
          <w:szCs w:val="20"/>
          <w:lang w:val="en-US"/>
        </w:rPr>
      </w:pPr>
      <w:r>
        <w:rPr>
          <w:rFonts w:ascii="Times New Roman" w:eastAsia="Times New Roman" w:hAnsi="Times New Roman"/>
          <w:b/>
          <w:sz w:val="24"/>
          <w:szCs w:val="20"/>
          <w:lang w:val="en-US"/>
        </w:rPr>
        <w:t>(a)</w:t>
      </w:r>
      <w:r>
        <w:rPr>
          <w:rFonts w:ascii="Times New Roman" w:eastAsia="Times New Roman" w:hAnsi="Times New Roman"/>
          <w:b/>
          <w:sz w:val="24"/>
          <w:szCs w:val="20"/>
          <w:lang w:val="en-US"/>
        </w:rPr>
        <w:tab/>
        <w:t>Background</w:t>
      </w:r>
    </w:p>
    <w:p w14:paraId="61E8DFC0" w14:textId="77777777" w:rsidR="00DE144F" w:rsidRDefault="00DE144F" w:rsidP="00DE144F">
      <w:pPr>
        <w:widowControl w:val="0"/>
        <w:spacing w:after="0" w:line="240" w:lineRule="auto"/>
        <w:ind w:left="720"/>
        <w:rPr>
          <w:rFonts w:ascii="Times New Roman" w:eastAsia="Times New Roman" w:hAnsi="Times New Roman"/>
          <w:sz w:val="24"/>
          <w:szCs w:val="20"/>
          <w:lang w:val="en-US"/>
        </w:rPr>
      </w:pPr>
      <w:r>
        <w:rPr>
          <w:rFonts w:ascii="Times New Roman" w:eastAsia="Times New Roman" w:hAnsi="Times New Roman"/>
          <w:sz w:val="24"/>
          <w:szCs w:val="20"/>
          <w:lang w:val="en-US"/>
        </w:rPr>
        <w:t xml:space="preserve">Gunderson, M. and A. </w:t>
      </w:r>
      <w:proofErr w:type="spellStart"/>
      <w:r>
        <w:rPr>
          <w:rFonts w:ascii="Times New Roman" w:eastAsia="Times New Roman" w:hAnsi="Times New Roman"/>
          <w:sz w:val="24"/>
          <w:szCs w:val="20"/>
          <w:lang w:val="en-US"/>
        </w:rPr>
        <w:t>Ponak</w:t>
      </w:r>
      <w:proofErr w:type="spellEnd"/>
      <w:r>
        <w:rPr>
          <w:rFonts w:ascii="Times New Roman" w:eastAsia="Times New Roman" w:hAnsi="Times New Roman"/>
          <w:sz w:val="24"/>
          <w:szCs w:val="20"/>
          <w:lang w:val="en-US"/>
        </w:rPr>
        <w:t xml:space="preserve"> (eds.), </w:t>
      </w:r>
      <w:r>
        <w:rPr>
          <w:rFonts w:ascii="Times New Roman" w:eastAsia="Times New Roman" w:hAnsi="Times New Roman"/>
          <w:i/>
          <w:sz w:val="24"/>
          <w:szCs w:val="20"/>
          <w:lang w:val="en-US"/>
        </w:rPr>
        <w:t>Union-Management Relations in Canada</w:t>
      </w:r>
      <w:r>
        <w:rPr>
          <w:rFonts w:ascii="Times New Roman" w:eastAsia="Times New Roman" w:hAnsi="Times New Roman"/>
          <w:sz w:val="24"/>
          <w:szCs w:val="20"/>
          <w:lang w:val="en-US"/>
        </w:rPr>
        <w:t xml:space="preserve"> (3</w:t>
      </w:r>
      <w:r>
        <w:rPr>
          <w:rFonts w:ascii="Times New Roman" w:eastAsia="Times New Roman" w:hAnsi="Times New Roman"/>
          <w:sz w:val="24"/>
          <w:szCs w:val="20"/>
          <w:vertAlign w:val="superscript"/>
          <w:lang w:val="en-US"/>
        </w:rPr>
        <w:t>rd</w:t>
      </w:r>
      <w:r>
        <w:rPr>
          <w:rFonts w:ascii="Times New Roman" w:eastAsia="Times New Roman" w:hAnsi="Times New Roman"/>
          <w:sz w:val="24"/>
          <w:szCs w:val="20"/>
          <w:lang w:val="en-US"/>
        </w:rPr>
        <w:t xml:space="preserve"> edition). Don Mills: Addison-Wesley, 1995, Chapter 14.</w:t>
      </w:r>
    </w:p>
    <w:p w14:paraId="3DDCC1C2" w14:textId="77777777" w:rsidR="00DE144F" w:rsidRDefault="00DE144F" w:rsidP="00DE144F">
      <w:pPr>
        <w:widowControl w:val="0"/>
        <w:spacing w:after="0" w:line="240" w:lineRule="auto"/>
        <w:ind w:left="720" w:hanging="720"/>
        <w:rPr>
          <w:rFonts w:ascii="Times New Roman" w:eastAsia="Times New Roman" w:hAnsi="Times New Roman"/>
          <w:b/>
          <w:sz w:val="24"/>
          <w:szCs w:val="20"/>
          <w:lang w:val="en-US"/>
        </w:rPr>
      </w:pPr>
      <w:r>
        <w:rPr>
          <w:rFonts w:ascii="Times New Roman" w:eastAsia="Times New Roman" w:hAnsi="Times New Roman"/>
          <w:b/>
          <w:sz w:val="24"/>
          <w:szCs w:val="20"/>
          <w:lang w:val="en-US"/>
        </w:rPr>
        <w:t>(b)</w:t>
      </w:r>
      <w:r>
        <w:rPr>
          <w:rFonts w:ascii="Times New Roman" w:eastAsia="Times New Roman" w:hAnsi="Times New Roman"/>
          <w:b/>
          <w:sz w:val="24"/>
          <w:szCs w:val="20"/>
          <w:lang w:val="en-US"/>
        </w:rPr>
        <w:tab/>
        <w:t>Legislative Impact</w:t>
      </w:r>
    </w:p>
    <w:p w14:paraId="590216BA" w14:textId="77777777" w:rsidR="00DE144F" w:rsidRDefault="00DE144F" w:rsidP="00DE144F">
      <w:pPr>
        <w:widowControl w:val="0"/>
        <w:spacing w:after="0" w:line="240" w:lineRule="auto"/>
        <w:ind w:left="720" w:hanging="720"/>
        <w:rPr>
          <w:rFonts w:ascii="Times New Roman" w:eastAsia="Times New Roman" w:hAnsi="Times New Roman"/>
          <w:sz w:val="24"/>
          <w:szCs w:val="20"/>
          <w:lang w:val="en-US"/>
        </w:rPr>
      </w:pPr>
      <w:r>
        <w:rPr>
          <w:rFonts w:ascii="Times New Roman" w:eastAsia="Times New Roman" w:hAnsi="Times New Roman"/>
          <w:sz w:val="24"/>
          <w:szCs w:val="20"/>
          <w:lang w:val="en-US"/>
        </w:rPr>
        <w:tab/>
        <w:t xml:space="preserve">Gunderson, Morley, John </w:t>
      </w:r>
      <w:proofErr w:type="spellStart"/>
      <w:r>
        <w:rPr>
          <w:rFonts w:ascii="Times New Roman" w:eastAsia="Times New Roman" w:hAnsi="Times New Roman"/>
          <w:sz w:val="24"/>
          <w:szCs w:val="20"/>
          <w:lang w:val="en-US"/>
        </w:rPr>
        <w:t>Kervin</w:t>
      </w:r>
      <w:proofErr w:type="spellEnd"/>
      <w:r>
        <w:rPr>
          <w:rFonts w:ascii="Times New Roman" w:eastAsia="Times New Roman" w:hAnsi="Times New Roman"/>
          <w:sz w:val="24"/>
          <w:szCs w:val="20"/>
          <w:lang w:val="en-US"/>
        </w:rPr>
        <w:t xml:space="preserve"> and Frank Reid (1989), “The Effect of </w:t>
      </w:r>
      <w:proofErr w:type="spellStart"/>
      <w:r>
        <w:rPr>
          <w:rFonts w:ascii="Times New Roman" w:eastAsia="Times New Roman" w:hAnsi="Times New Roman"/>
          <w:sz w:val="24"/>
          <w:szCs w:val="20"/>
          <w:lang w:val="en-US"/>
        </w:rPr>
        <w:t>Labour</w:t>
      </w:r>
      <w:proofErr w:type="spellEnd"/>
      <w:r>
        <w:rPr>
          <w:rFonts w:ascii="Times New Roman" w:eastAsia="Times New Roman" w:hAnsi="Times New Roman"/>
          <w:sz w:val="24"/>
          <w:szCs w:val="20"/>
          <w:lang w:val="en-US"/>
        </w:rPr>
        <w:t xml:space="preserve"> Relations Legislation on Strike Incidence”, </w:t>
      </w:r>
      <w:r>
        <w:rPr>
          <w:rFonts w:ascii="Times New Roman" w:eastAsia="Times New Roman" w:hAnsi="Times New Roman"/>
          <w:i/>
          <w:sz w:val="24"/>
          <w:szCs w:val="20"/>
          <w:lang w:val="en-US"/>
        </w:rPr>
        <w:t>Canadian Journal of Economics</w:t>
      </w:r>
      <w:r>
        <w:rPr>
          <w:rFonts w:ascii="Times New Roman" w:eastAsia="Times New Roman" w:hAnsi="Times New Roman"/>
          <w:sz w:val="24"/>
          <w:szCs w:val="20"/>
          <w:lang w:val="en-US"/>
        </w:rPr>
        <w:t>, 22(4): 779-794.</w:t>
      </w:r>
    </w:p>
    <w:p w14:paraId="402EC2F3" w14:textId="77777777" w:rsidR="00DE144F" w:rsidRDefault="00DE144F" w:rsidP="00DE144F">
      <w:pPr>
        <w:widowControl w:val="0"/>
        <w:spacing w:after="0" w:line="240" w:lineRule="auto"/>
        <w:rPr>
          <w:rFonts w:ascii="Times New Roman" w:eastAsia="Times New Roman" w:hAnsi="Times New Roman"/>
          <w:b/>
          <w:sz w:val="24"/>
          <w:szCs w:val="20"/>
          <w:lang w:val="en-US"/>
        </w:rPr>
      </w:pPr>
      <w:r>
        <w:rPr>
          <w:rFonts w:ascii="Times New Roman" w:eastAsia="Times New Roman" w:hAnsi="Times New Roman"/>
          <w:b/>
          <w:sz w:val="24"/>
          <w:szCs w:val="20"/>
          <w:lang w:val="en-US"/>
        </w:rPr>
        <w:t>(c)</w:t>
      </w:r>
      <w:r>
        <w:rPr>
          <w:rFonts w:ascii="Times New Roman" w:eastAsia="Times New Roman" w:hAnsi="Times New Roman"/>
          <w:b/>
          <w:sz w:val="24"/>
          <w:szCs w:val="20"/>
          <w:lang w:val="en-US"/>
        </w:rPr>
        <w:tab/>
        <w:t>Alternatives to Strikes</w:t>
      </w:r>
    </w:p>
    <w:p w14:paraId="5CF9B4E6" w14:textId="77777777" w:rsidR="00DE144F" w:rsidRDefault="00DE144F" w:rsidP="00DE144F">
      <w:pPr>
        <w:widowControl w:val="0"/>
        <w:spacing w:after="0" w:line="240" w:lineRule="auto"/>
        <w:ind w:left="720"/>
        <w:rPr>
          <w:rFonts w:ascii="Times New Roman" w:eastAsia="Times New Roman" w:hAnsi="Times New Roman"/>
          <w:sz w:val="24"/>
          <w:szCs w:val="20"/>
          <w:lang w:val="en-US"/>
        </w:rPr>
      </w:pPr>
      <w:r>
        <w:rPr>
          <w:rFonts w:ascii="Times New Roman" w:eastAsia="Times New Roman" w:hAnsi="Times New Roman"/>
          <w:sz w:val="24"/>
          <w:szCs w:val="20"/>
          <w:lang w:val="en-US"/>
        </w:rPr>
        <w:t xml:space="preserve">Currie, Janet and Sheena McConnell (1991), “Collective Bargaining in the Public Sector: The Effect of Legal Structure on Dispute Costs and Wages”, </w:t>
      </w:r>
      <w:r>
        <w:rPr>
          <w:rFonts w:ascii="Times New Roman" w:eastAsia="Times New Roman" w:hAnsi="Times New Roman"/>
          <w:i/>
          <w:sz w:val="24"/>
          <w:szCs w:val="20"/>
          <w:lang w:val="en-US"/>
        </w:rPr>
        <w:t>American Economic Review</w:t>
      </w:r>
      <w:r>
        <w:rPr>
          <w:rFonts w:ascii="Times New Roman" w:eastAsia="Times New Roman" w:hAnsi="Times New Roman"/>
          <w:sz w:val="24"/>
          <w:szCs w:val="20"/>
          <w:lang w:val="en-US"/>
        </w:rPr>
        <w:t xml:space="preserve">, 81: 693-718. (See also comment and reply, </w:t>
      </w:r>
      <w:r>
        <w:rPr>
          <w:rFonts w:ascii="Times New Roman" w:eastAsia="Times New Roman" w:hAnsi="Times New Roman"/>
          <w:i/>
          <w:sz w:val="24"/>
          <w:szCs w:val="20"/>
          <w:lang w:val="en-US"/>
        </w:rPr>
        <w:t>AER</w:t>
      </w:r>
      <w:r>
        <w:rPr>
          <w:rFonts w:ascii="Times New Roman" w:eastAsia="Times New Roman" w:hAnsi="Times New Roman"/>
          <w:sz w:val="24"/>
          <w:szCs w:val="20"/>
          <w:lang w:val="en-US"/>
        </w:rPr>
        <w:t>, March 1996.)</w:t>
      </w:r>
    </w:p>
    <w:p w14:paraId="729DC679" w14:textId="77777777" w:rsidR="00DE144F" w:rsidRDefault="00DE144F" w:rsidP="00DE144F">
      <w:pPr>
        <w:widowControl w:val="0"/>
        <w:spacing w:after="0" w:line="240" w:lineRule="auto"/>
        <w:ind w:left="720"/>
        <w:rPr>
          <w:rFonts w:ascii="Times New Roman" w:eastAsia="Times New Roman" w:hAnsi="Times New Roman"/>
          <w:sz w:val="24"/>
          <w:szCs w:val="20"/>
          <w:lang w:val="en-US"/>
        </w:rPr>
      </w:pPr>
    </w:p>
    <w:p w14:paraId="29D417E1" w14:textId="77777777" w:rsidR="00DE144F" w:rsidRDefault="00DE144F" w:rsidP="00DE144F">
      <w:pPr>
        <w:widowControl w:val="0"/>
        <w:spacing w:after="80" w:line="240" w:lineRule="auto"/>
        <w:ind w:left="720" w:hanging="720"/>
        <w:rPr>
          <w:rFonts w:ascii="Times New Roman" w:eastAsia="Times New Roman" w:hAnsi="Times New Roman"/>
          <w:sz w:val="24"/>
          <w:szCs w:val="20"/>
          <w:lang w:val="en-US"/>
        </w:rPr>
      </w:pPr>
      <w:r>
        <w:rPr>
          <w:rFonts w:ascii="Times New Roman" w:eastAsia="Times New Roman" w:hAnsi="Times New Roman"/>
          <w:b/>
          <w:sz w:val="24"/>
          <w:szCs w:val="20"/>
          <w:lang w:val="en-US"/>
        </w:rPr>
        <w:t>6.</w:t>
      </w:r>
      <w:r>
        <w:rPr>
          <w:rFonts w:ascii="Times New Roman" w:eastAsia="Times New Roman" w:hAnsi="Times New Roman"/>
          <w:b/>
          <w:sz w:val="24"/>
          <w:szCs w:val="20"/>
          <w:lang w:val="en-US"/>
        </w:rPr>
        <w:tab/>
        <w:t>Union Impact on Non-Wage Outcomes</w:t>
      </w:r>
    </w:p>
    <w:p w14:paraId="48A4D965" w14:textId="77777777" w:rsidR="00DE144F" w:rsidRDefault="00DE144F" w:rsidP="00DE144F">
      <w:pPr>
        <w:widowControl w:val="0"/>
        <w:spacing w:after="0" w:line="240" w:lineRule="auto"/>
        <w:ind w:left="720"/>
        <w:rPr>
          <w:rFonts w:ascii="Times New Roman" w:eastAsia="Times New Roman" w:hAnsi="Times New Roman"/>
          <w:sz w:val="24"/>
          <w:szCs w:val="20"/>
          <w:lang w:val="en-US"/>
        </w:rPr>
      </w:pPr>
      <w:r>
        <w:rPr>
          <w:rFonts w:ascii="Times New Roman" w:eastAsia="Times New Roman" w:hAnsi="Times New Roman"/>
          <w:sz w:val="24"/>
          <w:szCs w:val="20"/>
          <w:lang w:val="en-US"/>
        </w:rPr>
        <w:t>“Union Impact on Wage and Nonwage Outcomes”, Chapter 16 in BGR, pp. 566-82.</w:t>
      </w:r>
    </w:p>
    <w:p w14:paraId="7734DC8B" w14:textId="77777777" w:rsidR="00DE144F" w:rsidRDefault="00DE144F" w:rsidP="00DE144F">
      <w:pPr>
        <w:widowControl w:val="0"/>
        <w:spacing w:after="0" w:line="0" w:lineRule="atLeast"/>
        <w:ind w:left="720"/>
        <w:rPr>
          <w:rFonts w:ascii="Times New Roman" w:eastAsia="Times New Roman" w:hAnsi="Times New Roman"/>
          <w:sz w:val="24"/>
          <w:szCs w:val="20"/>
          <w:lang w:val="en-US"/>
        </w:rPr>
      </w:pPr>
      <w:r>
        <w:rPr>
          <w:rFonts w:ascii="Times New Roman" w:eastAsia="Times New Roman" w:hAnsi="Times New Roman"/>
          <w:sz w:val="24"/>
          <w:szCs w:val="20"/>
          <w:lang w:val="en-US"/>
        </w:rPr>
        <w:t xml:space="preserve">Freeman, R.B. and J. </w:t>
      </w:r>
      <w:proofErr w:type="spellStart"/>
      <w:r>
        <w:rPr>
          <w:rFonts w:ascii="Times New Roman" w:eastAsia="Times New Roman" w:hAnsi="Times New Roman"/>
          <w:sz w:val="24"/>
          <w:szCs w:val="20"/>
          <w:lang w:val="en-US"/>
        </w:rPr>
        <w:t>Medoff</w:t>
      </w:r>
      <w:proofErr w:type="spellEnd"/>
      <w:r>
        <w:rPr>
          <w:rFonts w:ascii="Times New Roman" w:eastAsia="Times New Roman" w:hAnsi="Times New Roman"/>
          <w:sz w:val="24"/>
          <w:szCs w:val="20"/>
          <w:lang w:val="en-US"/>
        </w:rPr>
        <w:t>, “The Two Faces of Unionism”,</w:t>
      </w:r>
      <w:r>
        <w:rPr>
          <w:rFonts w:ascii="Times New Roman" w:eastAsia="Times New Roman" w:hAnsi="Times New Roman"/>
          <w:i/>
          <w:sz w:val="24"/>
          <w:szCs w:val="20"/>
          <w:lang w:val="en-US"/>
        </w:rPr>
        <w:t xml:space="preserve"> The Public Interest</w:t>
      </w:r>
      <w:r>
        <w:rPr>
          <w:rFonts w:ascii="Times New Roman" w:eastAsia="Times New Roman" w:hAnsi="Times New Roman"/>
          <w:sz w:val="24"/>
          <w:szCs w:val="20"/>
          <w:lang w:val="en-US"/>
        </w:rPr>
        <w:t>, Fall 1979, pp. 69-93.</w:t>
      </w:r>
    </w:p>
    <w:p w14:paraId="55B92450" w14:textId="77777777" w:rsidR="00E404C9" w:rsidRDefault="00E404C9"/>
    <w:sectPr w:rsidR="00E404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222F6"/>
    <w:multiLevelType w:val="hybridMultilevel"/>
    <w:tmpl w:val="F012714C"/>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1C3F61F2"/>
    <w:multiLevelType w:val="hybridMultilevel"/>
    <w:tmpl w:val="A30EC758"/>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04B"/>
    <w:rsid w:val="00176A06"/>
    <w:rsid w:val="008F0210"/>
    <w:rsid w:val="00B2004B"/>
    <w:rsid w:val="00DE144F"/>
    <w:rsid w:val="00E40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480EF"/>
  <w15:chartTrackingRefBased/>
  <w15:docId w15:val="{7358E925-1F4D-4B78-A6A5-B5842265C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44F"/>
    <w:pPr>
      <w:spacing w:after="160" w:line="254" w:lineRule="auto"/>
    </w:pPr>
    <w:rPr>
      <w:rFonts w:ascii="Calibri" w:eastAsia="Calibri" w:hAnsi="Calibri" w:cs="Times New Roman"/>
      <w:kern w:val="0"/>
      <w:sz w:val="22"/>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900883">
      <w:bodyDiv w:val="1"/>
      <w:marLeft w:val="0"/>
      <w:marRight w:val="0"/>
      <w:marTop w:val="0"/>
      <w:marBottom w:val="0"/>
      <w:divBdr>
        <w:top w:val="none" w:sz="0" w:space="0" w:color="auto"/>
        <w:left w:val="none" w:sz="0" w:space="0" w:color="auto"/>
        <w:bottom w:val="none" w:sz="0" w:space="0" w:color="auto"/>
        <w:right w:val="none" w:sz="0" w:space="0" w:color="auto"/>
      </w:divBdr>
    </w:div>
    <w:div w:id="1196238752">
      <w:bodyDiv w:val="1"/>
      <w:marLeft w:val="0"/>
      <w:marRight w:val="0"/>
      <w:marTop w:val="0"/>
      <w:marBottom w:val="0"/>
      <w:divBdr>
        <w:top w:val="none" w:sz="0" w:space="0" w:color="auto"/>
        <w:left w:val="none" w:sz="0" w:space="0" w:color="auto"/>
        <w:bottom w:val="none" w:sz="0" w:space="0" w:color="auto"/>
        <w:right w:val="none" w:sz="0" w:space="0" w:color="auto"/>
      </w:divBdr>
    </w:div>
    <w:div w:id="120818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516</Words>
  <Characters>2945</Characters>
  <Application>Microsoft Office Word</Application>
  <DocSecurity>0</DocSecurity>
  <Lines>24</Lines>
  <Paragraphs>6</Paragraphs>
  <ScaleCrop>false</ScaleCrop>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2020-03-18T12:19:00Z</dcterms:created>
  <dcterms:modified xsi:type="dcterms:W3CDTF">2020-03-18T12:19:00Z</dcterms:modified>
</cp:coreProperties>
</file>