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BC4315">
      <w:pPr>
        <w:rPr>
          <w:rFonts w:ascii="Times New Roman" w:hAnsi="Times New Roman" w:cs="Times New Roman"/>
          <w:sz w:val="24"/>
          <w:szCs w:val="24"/>
        </w:rPr>
      </w:pPr>
      <w:r w:rsidRPr="00BC4315">
        <w:rPr>
          <w:rFonts w:ascii="Times New Roman" w:hAnsi="Times New Roman" w:cs="Times New Roman"/>
          <w:sz w:val="24"/>
          <w:szCs w:val="24"/>
        </w:rPr>
        <w:t xml:space="preserve">Structured External Assignment (essay) for Language and Literature Academic </w:t>
      </w:r>
      <w:proofErr w:type="gramStart"/>
      <w:r w:rsidRPr="00BC4315">
        <w:rPr>
          <w:rFonts w:ascii="Times New Roman" w:hAnsi="Times New Roman" w:cs="Times New Roman"/>
          <w:sz w:val="24"/>
          <w:szCs w:val="24"/>
        </w:rPr>
        <w:t>Level :</w:t>
      </w:r>
      <w:proofErr w:type="gramEnd"/>
      <w:r w:rsidRPr="00BC4315">
        <w:rPr>
          <w:rFonts w:ascii="Times New Roman" w:hAnsi="Times New Roman" w:cs="Times New Roman"/>
          <w:sz w:val="24"/>
          <w:szCs w:val="24"/>
        </w:rPr>
        <w:t xml:space="preserve"> Bachelor Paper details Structured External Assignment: Integrating all of the topics covered in this course, students will create a portfolio to demonstrate their understanding of and ability to provide exemplary instruction in what the National Reading Panel has called the “Essential Five” areas of reading instruction: phonemic awareness, phonics, fluency, vocabulary, comprehension. The portfolio should be broken into five sections (as identified above). Each section should contain a one-page summary of the key area of reading instruction, a lesson plan exemplifying best practices in the area, an assessment tool targeted to the area, two intervention strategies that could be utilized with struggling readers or ELL’s, and a suggestion to help families support the area of development at home. The portfolio components will be written and developed over the span of the course, and combined into the finalized portfolio document in the final week of the course. The “Reading Component Portfolio Rubric” will be used to assess each of the five individual sections. The “Final Combined Portfolio Rubric” will be used to assess the final combined document submitted in the final week of the course.</w:t>
      </w:r>
      <w:bookmarkStart w:id="0" w:name="_GoBack"/>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65718"/>
    <w:rsid w:val="00575A7D"/>
    <w:rsid w:val="008B673D"/>
    <w:rsid w:val="00AE3BD2"/>
    <w:rsid w:val="00B43604"/>
    <w:rsid w:val="00B855DC"/>
    <w:rsid w:val="00BC4315"/>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2020-03-06T08:24:00Z</dcterms:created>
  <dcterms:modified xsi:type="dcterms:W3CDTF">2020-03-06T08:24:00Z</dcterms:modified>
</cp:coreProperties>
</file>