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9540" w14:textId="7E40BA0D" w:rsidR="001E3A55" w:rsidRPr="001E3A55" w:rsidRDefault="001E3A55" w:rsidP="001E3A55">
      <w:pPr>
        <w:jc w:val="center"/>
        <w:rPr>
          <w:rFonts w:cstheme="minorHAnsi"/>
          <w:b/>
          <w:bCs/>
          <w:color w:val="000000"/>
          <w:u w:val="single"/>
        </w:rPr>
      </w:pPr>
      <w:r w:rsidRPr="001E3A55">
        <w:rPr>
          <w:b/>
          <w:bCs/>
          <w:u w:val="single"/>
        </w:rPr>
        <w:t>Business Report on Case Study</w:t>
      </w:r>
    </w:p>
    <w:p w14:paraId="0330B02A" w14:textId="4329603A" w:rsidR="001E3A55" w:rsidRDefault="001E3A55" w:rsidP="001E3A55">
      <w:pPr>
        <w:rPr>
          <w:rFonts w:cstheme="minorHAnsi"/>
          <w:color w:val="000000"/>
        </w:rPr>
      </w:pPr>
      <w:r w:rsidRPr="0065419C">
        <w:rPr>
          <w:rFonts w:cstheme="minorHAnsi"/>
          <w:bCs/>
          <w:i/>
          <w:iCs/>
        </w:rPr>
        <w:t>Read the case study below and prepare a Business Report as per the below requirements</w:t>
      </w:r>
      <w:r>
        <w:rPr>
          <w:rFonts w:cstheme="minorHAnsi"/>
          <w:bCs/>
          <w:i/>
          <w:iCs/>
        </w:rPr>
        <w:t>;</w:t>
      </w:r>
    </w:p>
    <w:p w14:paraId="7915EFD2" w14:textId="7EEDC878" w:rsidR="001E3A55" w:rsidRDefault="001E3A55" w:rsidP="001E3A55">
      <w:r>
        <w:rPr>
          <w:rFonts w:cstheme="minorHAnsi"/>
          <w:color w:val="000000"/>
        </w:rPr>
        <w:t xml:space="preserve">UAE </w:t>
      </w:r>
      <w:r w:rsidRPr="0065419C">
        <w:rPr>
          <w:rFonts w:cstheme="minorHAnsi"/>
          <w:color w:val="000000"/>
        </w:rPr>
        <w:t xml:space="preserve">Trekker LLC produces Travel Hiking Backpacks in three different </w:t>
      </w:r>
      <w:proofErr w:type="spellStart"/>
      <w:r w:rsidRPr="0065419C">
        <w:rPr>
          <w:rFonts w:cstheme="minorHAnsi"/>
          <w:color w:val="000000"/>
        </w:rPr>
        <w:t>colours</w:t>
      </w:r>
      <w:proofErr w:type="spellEnd"/>
      <w:r w:rsidRPr="0065419C">
        <w:rPr>
          <w:rFonts w:cstheme="minorHAnsi"/>
          <w:color w:val="000000"/>
        </w:rPr>
        <w:t xml:space="preserve">, Black, Grey and Orange, which are all manufactured from the same form of raw material. The Company has used traditional full costing to allocate overheads to its products using direct </w:t>
      </w:r>
      <w:proofErr w:type="spellStart"/>
      <w:r w:rsidRPr="0065419C">
        <w:rPr>
          <w:rFonts w:cstheme="minorHAnsi"/>
          <w:color w:val="000000"/>
        </w:rPr>
        <w:t>labour</w:t>
      </w:r>
      <w:proofErr w:type="spellEnd"/>
      <w:r w:rsidRPr="0065419C">
        <w:rPr>
          <w:rFonts w:cstheme="minorHAnsi"/>
          <w:color w:val="000000"/>
        </w:rPr>
        <w:t xml:space="preserve"> hours. The Company is now considering using an activity-based costing system to improve its profitability. Information for the three Backpacks is given below for your analysis</w:t>
      </w:r>
      <w:r>
        <w:rPr>
          <w:rFonts w:cstheme="minorHAnsi"/>
          <w:color w:val="000000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1800"/>
        <w:gridCol w:w="1890"/>
        <w:gridCol w:w="1795"/>
      </w:tblGrid>
      <w:tr w:rsidR="001E3A55" w:rsidRPr="0065419C" w14:paraId="6A9EF2AA" w14:textId="77777777" w:rsidTr="001E3A55">
        <w:tc>
          <w:tcPr>
            <w:tcW w:w="3865" w:type="dxa"/>
          </w:tcPr>
          <w:p w14:paraId="66481E46" w14:textId="77777777" w:rsidR="001E3A55" w:rsidRPr="0065419C" w:rsidRDefault="001E3A55" w:rsidP="001E3A5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14:paraId="77BE59AA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5419C">
              <w:rPr>
                <w:rFonts w:asciiTheme="minorHAnsi" w:hAnsiTheme="minorHAnsi" w:cstheme="minorHAnsi"/>
                <w:b/>
              </w:rPr>
              <w:t>Black</w:t>
            </w:r>
          </w:p>
        </w:tc>
        <w:tc>
          <w:tcPr>
            <w:tcW w:w="1890" w:type="dxa"/>
          </w:tcPr>
          <w:p w14:paraId="5C82C0B9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5419C">
              <w:rPr>
                <w:rFonts w:asciiTheme="minorHAnsi" w:hAnsiTheme="minorHAnsi" w:cstheme="minorHAnsi"/>
                <w:b/>
              </w:rPr>
              <w:t>Grey</w:t>
            </w:r>
          </w:p>
        </w:tc>
        <w:tc>
          <w:tcPr>
            <w:tcW w:w="1795" w:type="dxa"/>
          </w:tcPr>
          <w:p w14:paraId="1F285DB0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5419C">
              <w:rPr>
                <w:rFonts w:asciiTheme="minorHAnsi" w:hAnsiTheme="minorHAnsi" w:cstheme="minorHAnsi"/>
                <w:b/>
              </w:rPr>
              <w:t>Orange</w:t>
            </w:r>
          </w:p>
        </w:tc>
      </w:tr>
      <w:tr w:rsidR="001E3A55" w:rsidRPr="0065419C" w14:paraId="51884E48" w14:textId="77777777" w:rsidTr="001E3A55">
        <w:tc>
          <w:tcPr>
            <w:tcW w:w="3865" w:type="dxa"/>
          </w:tcPr>
          <w:p w14:paraId="6ED059C4" w14:textId="77777777" w:rsidR="001E3A55" w:rsidRPr="0065419C" w:rsidRDefault="001E3A55" w:rsidP="001E3A5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Production Volume (Units)</w:t>
            </w:r>
          </w:p>
        </w:tc>
        <w:tc>
          <w:tcPr>
            <w:tcW w:w="1800" w:type="dxa"/>
          </w:tcPr>
          <w:p w14:paraId="4A10B7A1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30,000</w:t>
            </w:r>
          </w:p>
        </w:tc>
        <w:tc>
          <w:tcPr>
            <w:tcW w:w="1890" w:type="dxa"/>
          </w:tcPr>
          <w:p w14:paraId="7E61660A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24,000</w:t>
            </w:r>
          </w:p>
        </w:tc>
        <w:tc>
          <w:tcPr>
            <w:tcW w:w="1795" w:type="dxa"/>
          </w:tcPr>
          <w:p w14:paraId="79948391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36,000</w:t>
            </w:r>
          </w:p>
        </w:tc>
      </w:tr>
      <w:tr w:rsidR="001E3A55" w:rsidRPr="0065419C" w14:paraId="0CA01DF3" w14:textId="77777777" w:rsidTr="001E3A55">
        <w:tc>
          <w:tcPr>
            <w:tcW w:w="3865" w:type="dxa"/>
          </w:tcPr>
          <w:p w14:paraId="752FFCB1" w14:textId="77777777" w:rsidR="001E3A55" w:rsidRPr="0065419C" w:rsidRDefault="001E3A55" w:rsidP="001E3A5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Raw Materials Per Unit (kg)</w:t>
            </w:r>
          </w:p>
        </w:tc>
        <w:tc>
          <w:tcPr>
            <w:tcW w:w="1800" w:type="dxa"/>
          </w:tcPr>
          <w:p w14:paraId="4CFDF8A7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1890" w:type="dxa"/>
          </w:tcPr>
          <w:p w14:paraId="4638FD4D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1795" w:type="dxa"/>
          </w:tcPr>
          <w:p w14:paraId="135A5CA0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3.0</w:t>
            </w:r>
          </w:p>
        </w:tc>
      </w:tr>
      <w:tr w:rsidR="001E3A55" w:rsidRPr="0065419C" w14:paraId="767E5309" w14:textId="77777777" w:rsidTr="001E3A55">
        <w:tc>
          <w:tcPr>
            <w:tcW w:w="3865" w:type="dxa"/>
          </w:tcPr>
          <w:p w14:paraId="75A9B31D" w14:textId="77777777" w:rsidR="001E3A55" w:rsidRPr="0065419C" w:rsidRDefault="001E3A55" w:rsidP="001E3A5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Direct Materials Costs Per Unit ($)</w:t>
            </w:r>
          </w:p>
        </w:tc>
        <w:tc>
          <w:tcPr>
            <w:tcW w:w="1800" w:type="dxa"/>
          </w:tcPr>
          <w:p w14:paraId="0A495673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3.6</w:t>
            </w:r>
          </w:p>
        </w:tc>
        <w:tc>
          <w:tcPr>
            <w:tcW w:w="1890" w:type="dxa"/>
          </w:tcPr>
          <w:p w14:paraId="3A863772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5.76</w:t>
            </w:r>
          </w:p>
        </w:tc>
        <w:tc>
          <w:tcPr>
            <w:tcW w:w="1795" w:type="dxa"/>
          </w:tcPr>
          <w:p w14:paraId="4A09D6B2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7.2</w:t>
            </w:r>
          </w:p>
        </w:tc>
      </w:tr>
      <w:tr w:rsidR="001E3A55" w:rsidRPr="0065419C" w14:paraId="78BCD047" w14:textId="77777777" w:rsidTr="001E3A55">
        <w:tc>
          <w:tcPr>
            <w:tcW w:w="3865" w:type="dxa"/>
          </w:tcPr>
          <w:p w14:paraId="67448172" w14:textId="77777777" w:rsidR="001E3A55" w:rsidRPr="0065419C" w:rsidRDefault="001E3A55" w:rsidP="001E3A5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Direct Labour hours Per Unit (Hrs)</w:t>
            </w:r>
          </w:p>
        </w:tc>
        <w:tc>
          <w:tcPr>
            <w:tcW w:w="1800" w:type="dxa"/>
          </w:tcPr>
          <w:p w14:paraId="4A26D1F3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0.2</w:t>
            </w:r>
          </w:p>
        </w:tc>
        <w:tc>
          <w:tcPr>
            <w:tcW w:w="1890" w:type="dxa"/>
          </w:tcPr>
          <w:p w14:paraId="4E512175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1795" w:type="dxa"/>
          </w:tcPr>
          <w:p w14:paraId="197D589A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0.4</w:t>
            </w:r>
          </w:p>
        </w:tc>
      </w:tr>
      <w:tr w:rsidR="001E3A55" w:rsidRPr="0065419C" w14:paraId="5B880408" w14:textId="77777777" w:rsidTr="001E3A55">
        <w:tc>
          <w:tcPr>
            <w:tcW w:w="3865" w:type="dxa"/>
          </w:tcPr>
          <w:p w14:paraId="7E8F26CE" w14:textId="77777777" w:rsidR="001E3A55" w:rsidRPr="0065419C" w:rsidRDefault="001E3A55" w:rsidP="001E3A5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Direct Labour Cost Per Unit ($)</w:t>
            </w:r>
          </w:p>
        </w:tc>
        <w:tc>
          <w:tcPr>
            <w:tcW w:w="1800" w:type="dxa"/>
          </w:tcPr>
          <w:p w14:paraId="54D0A625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5.92</w:t>
            </w:r>
          </w:p>
        </w:tc>
        <w:tc>
          <w:tcPr>
            <w:tcW w:w="1890" w:type="dxa"/>
          </w:tcPr>
          <w:p w14:paraId="6382B647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8.88</w:t>
            </w:r>
          </w:p>
        </w:tc>
        <w:tc>
          <w:tcPr>
            <w:tcW w:w="1795" w:type="dxa"/>
          </w:tcPr>
          <w:p w14:paraId="28979DA8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11.84</w:t>
            </w:r>
          </w:p>
        </w:tc>
      </w:tr>
      <w:tr w:rsidR="001E3A55" w:rsidRPr="0065419C" w14:paraId="4A4C4B3D" w14:textId="77777777" w:rsidTr="001E3A55">
        <w:tc>
          <w:tcPr>
            <w:tcW w:w="9350" w:type="dxa"/>
            <w:gridSpan w:val="4"/>
          </w:tcPr>
          <w:p w14:paraId="0C0F841F" w14:textId="77777777" w:rsidR="001E3A55" w:rsidRPr="0065419C" w:rsidRDefault="001E3A55" w:rsidP="001E3A5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5419C">
              <w:rPr>
                <w:rFonts w:asciiTheme="minorHAnsi" w:hAnsiTheme="minorHAnsi" w:cstheme="minorHAnsi"/>
                <w:b/>
              </w:rPr>
              <w:t>Other Operational Data</w:t>
            </w:r>
          </w:p>
        </w:tc>
      </w:tr>
      <w:tr w:rsidR="001E3A55" w:rsidRPr="0065419C" w14:paraId="1A18FBBE" w14:textId="77777777" w:rsidTr="001E3A55">
        <w:tc>
          <w:tcPr>
            <w:tcW w:w="3865" w:type="dxa"/>
          </w:tcPr>
          <w:p w14:paraId="6BEF42EB" w14:textId="77777777" w:rsidR="001E3A55" w:rsidRPr="0065419C" w:rsidRDefault="001E3A55" w:rsidP="001E3A5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Machine Hours Per Unit (Hrs)</w:t>
            </w:r>
          </w:p>
        </w:tc>
        <w:tc>
          <w:tcPr>
            <w:tcW w:w="1800" w:type="dxa"/>
          </w:tcPr>
          <w:p w14:paraId="54E71074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0.5</w:t>
            </w:r>
          </w:p>
        </w:tc>
        <w:tc>
          <w:tcPr>
            <w:tcW w:w="1890" w:type="dxa"/>
          </w:tcPr>
          <w:p w14:paraId="3F6F1F50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0.7</w:t>
            </w:r>
          </w:p>
        </w:tc>
        <w:tc>
          <w:tcPr>
            <w:tcW w:w="1795" w:type="dxa"/>
          </w:tcPr>
          <w:p w14:paraId="25110C7E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0.9</w:t>
            </w:r>
          </w:p>
        </w:tc>
      </w:tr>
      <w:tr w:rsidR="001E3A55" w:rsidRPr="0065419C" w14:paraId="290AE43C" w14:textId="77777777" w:rsidTr="001E3A55">
        <w:tc>
          <w:tcPr>
            <w:tcW w:w="3865" w:type="dxa"/>
          </w:tcPr>
          <w:p w14:paraId="4B7E63D1" w14:textId="77777777" w:rsidR="001E3A55" w:rsidRPr="0065419C" w:rsidRDefault="001E3A55" w:rsidP="001E3A5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Production Runs</w:t>
            </w:r>
          </w:p>
        </w:tc>
        <w:tc>
          <w:tcPr>
            <w:tcW w:w="1800" w:type="dxa"/>
          </w:tcPr>
          <w:p w14:paraId="4AC820D1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890" w:type="dxa"/>
          </w:tcPr>
          <w:p w14:paraId="7A9FCE3C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795" w:type="dxa"/>
          </w:tcPr>
          <w:p w14:paraId="5FB7CB9B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16</w:t>
            </w:r>
          </w:p>
        </w:tc>
      </w:tr>
      <w:tr w:rsidR="001E3A55" w:rsidRPr="0065419C" w14:paraId="7458EDDA" w14:textId="77777777" w:rsidTr="001E3A55">
        <w:tc>
          <w:tcPr>
            <w:tcW w:w="3865" w:type="dxa"/>
          </w:tcPr>
          <w:p w14:paraId="21E28CFE" w14:textId="77777777" w:rsidR="001E3A55" w:rsidRPr="0065419C" w:rsidRDefault="001E3A55" w:rsidP="001E3A5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Number of Purchases</w:t>
            </w:r>
          </w:p>
        </w:tc>
        <w:tc>
          <w:tcPr>
            <w:tcW w:w="1800" w:type="dxa"/>
          </w:tcPr>
          <w:p w14:paraId="0B47B2C9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890" w:type="dxa"/>
          </w:tcPr>
          <w:p w14:paraId="58A27992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795" w:type="dxa"/>
          </w:tcPr>
          <w:p w14:paraId="6C1ECADA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84</w:t>
            </w:r>
          </w:p>
        </w:tc>
      </w:tr>
      <w:tr w:rsidR="001E3A55" w:rsidRPr="0065419C" w14:paraId="7B5A3BD6" w14:textId="77777777" w:rsidTr="001E3A55">
        <w:tc>
          <w:tcPr>
            <w:tcW w:w="3865" w:type="dxa"/>
          </w:tcPr>
          <w:p w14:paraId="12A9AA53" w14:textId="77777777" w:rsidR="001E3A55" w:rsidRPr="0065419C" w:rsidRDefault="001E3A55" w:rsidP="001E3A5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Number of Deliveries</w:t>
            </w:r>
          </w:p>
        </w:tc>
        <w:tc>
          <w:tcPr>
            <w:tcW w:w="1800" w:type="dxa"/>
          </w:tcPr>
          <w:p w14:paraId="11F7FBCF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1890" w:type="dxa"/>
          </w:tcPr>
          <w:p w14:paraId="7183FCE1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795" w:type="dxa"/>
          </w:tcPr>
          <w:p w14:paraId="6F8924EB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124</w:t>
            </w:r>
          </w:p>
        </w:tc>
      </w:tr>
      <w:tr w:rsidR="001E3A55" w:rsidRPr="0065419C" w14:paraId="36682551" w14:textId="77777777" w:rsidTr="001E3A55">
        <w:tc>
          <w:tcPr>
            <w:tcW w:w="3865" w:type="dxa"/>
          </w:tcPr>
          <w:p w14:paraId="4FB6734F" w14:textId="77777777" w:rsidR="001E3A55" w:rsidRPr="0065419C" w:rsidRDefault="001E3A55" w:rsidP="001E3A5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 xml:space="preserve">Selling Price Per Unit ($) </w:t>
            </w:r>
          </w:p>
        </w:tc>
        <w:tc>
          <w:tcPr>
            <w:tcW w:w="1800" w:type="dxa"/>
          </w:tcPr>
          <w:p w14:paraId="25726D33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18.5</w:t>
            </w:r>
          </w:p>
        </w:tc>
        <w:tc>
          <w:tcPr>
            <w:tcW w:w="1890" w:type="dxa"/>
          </w:tcPr>
          <w:p w14:paraId="31D40CA7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795" w:type="dxa"/>
          </w:tcPr>
          <w:p w14:paraId="2EF63551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40</w:t>
            </w:r>
          </w:p>
        </w:tc>
      </w:tr>
    </w:tbl>
    <w:p w14:paraId="544E98C8" w14:textId="7D9A8101" w:rsidR="001E3A55" w:rsidRDefault="001E3A55" w:rsidP="001E3A55"/>
    <w:p w14:paraId="5130A263" w14:textId="77777777" w:rsidR="001E3A55" w:rsidRPr="0065419C" w:rsidRDefault="001E3A55" w:rsidP="001E3A55">
      <w:pPr>
        <w:framePr w:hSpace="180" w:wrap="around" w:vAnchor="page" w:hAnchor="margin" w:xAlign="center" w:y="2476"/>
        <w:spacing w:line="360" w:lineRule="auto"/>
        <w:jc w:val="both"/>
        <w:rPr>
          <w:rFonts w:cstheme="minorHAnsi"/>
        </w:rPr>
      </w:pPr>
      <w:r w:rsidRPr="0065419C">
        <w:rPr>
          <w:rFonts w:cstheme="minorHAnsi"/>
        </w:rPr>
        <w:t xml:space="preserve">The price for raw materials per </w:t>
      </w:r>
      <w:proofErr w:type="spellStart"/>
      <w:r w:rsidRPr="0065419C">
        <w:rPr>
          <w:rFonts w:cstheme="minorHAnsi"/>
        </w:rPr>
        <w:t>kilogramme</w:t>
      </w:r>
      <w:proofErr w:type="spellEnd"/>
      <w:r w:rsidRPr="0065419C">
        <w:rPr>
          <w:rFonts w:cstheme="minorHAnsi"/>
        </w:rPr>
        <w:t xml:space="preserve"> is $2.40 and the direct </w:t>
      </w:r>
      <w:proofErr w:type="spellStart"/>
      <w:r w:rsidRPr="0065419C">
        <w:rPr>
          <w:rFonts w:cstheme="minorHAnsi"/>
        </w:rPr>
        <w:t>labour</w:t>
      </w:r>
      <w:proofErr w:type="spellEnd"/>
      <w:r w:rsidRPr="0065419C">
        <w:rPr>
          <w:rFonts w:cstheme="minorHAnsi"/>
        </w:rPr>
        <w:t xml:space="preserve"> cost per hour is $29.60. </w:t>
      </w:r>
    </w:p>
    <w:p w14:paraId="2B54042B" w14:textId="314E758D" w:rsidR="001E3A55" w:rsidRDefault="001E3A55" w:rsidP="001E3A55">
      <w:pPr>
        <w:rPr>
          <w:rFonts w:cstheme="minorHAnsi"/>
        </w:rPr>
      </w:pPr>
      <w:r w:rsidRPr="0065419C">
        <w:rPr>
          <w:rFonts w:cstheme="minorHAnsi"/>
        </w:rPr>
        <w:t xml:space="preserve">The annual overhead costs along with the relevant cost drivers have been </w:t>
      </w:r>
      <w:proofErr w:type="spellStart"/>
      <w:r w:rsidRPr="0065419C">
        <w:rPr>
          <w:rFonts w:cstheme="minorHAnsi"/>
        </w:rPr>
        <w:t>analysed</w:t>
      </w:r>
      <w:proofErr w:type="spellEnd"/>
      <w:r w:rsidRPr="0065419C">
        <w:rPr>
          <w:rFonts w:cstheme="minorHAnsi"/>
        </w:rPr>
        <w:t xml:space="preserve"> below</w:t>
      </w:r>
      <w:r>
        <w:rPr>
          <w:rFonts w:cstheme="minorHAnsi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2700"/>
        <w:gridCol w:w="2790"/>
      </w:tblGrid>
      <w:tr w:rsidR="001E3A55" w:rsidRPr="0065419C" w14:paraId="12EBB67B" w14:textId="77777777" w:rsidTr="001E3A55">
        <w:tc>
          <w:tcPr>
            <w:tcW w:w="3865" w:type="dxa"/>
          </w:tcPr>
          <w:p w14:paraId="4DF1C4E3" w14:textId="77777777" w:rsidR="001E3A55" w:rsidRPr="0065419C" w:rsidRDefault="001E3A55" w:rsidP="001E3A5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5419C">
              <w:rPr>
                <w:rFonts w:asciiTheme="minorHAnsi" w:hAnsiTheme="minorHAnsi" w:cstheme="minorHAnsi"/>
                <w:b/>
              </w:rPr>
              <w:t>Overhead Cost Centre</w:t>
            </w:r>
          </w:p>
        </w:tc>
        <w:tc>
          <w:tcPr>
            <w:tcW w:w="2700" w:type="dxa"/>
          </w:tcPr>
          <w:p w14:paraId="4F1B136D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5419C">
              <w:rPr>
                <w:rFonts w:asciiTheme="minorHAnsi" w:hAnsiTheme="minorHAnsi" w:cstheme="minorHAnsi"/>
                <w:b/>
              </w:rPr>
              <w:t>Cost Driver</w:t>
            </w:r>
          </w:p>
        </w:tc>
        <w:tc>
          <w:tcPr>
            <w:tcW w:w="2790" w:type="dxa"/>
          </w:tcPr>
          <w:p w14:paraId="5CC52A11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5419C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1E3A55" w:rsidRPr="0065419C" w14:paraId="451A33EC" w14:textId="77777777" w:rsidTr="001E3A55">
        <w:tc>
          <w:tcPr>
            <w:tcW w:w="3865" w:type="dxa"/>
          </w:tcPr>
          <w:p w14:paraId="77C43A29" w14:textId="77777777" w:rsidR="001E3A55" w:rsidRPr="0065419C" w:rsidRDefault="001E3A55" w:rsidP="001E3A5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 xml:space="preserve">Machine Set Up Costs  </w:t>
            </w:r>
            <w:proofErr w:type="gramStart"/>
            <w:r w:rsidRPr="0065419C">
              <w:rPr>
                <w:rFonts w:asciiTheme="minorHAnsi" w:hAnsiTheme="minorHAnsi" w:cstheme="minorHAnsi"/>
              </w:rPr>
              <w:t xml:space="preserve">   (</w:t>
            </w:r>
            <w:proofErr w:type="gramEnd"/>
            <w:r w:rsidRPr="0065419C">
              <w:rPr>
                <w:rFonts w:asciiTheme="minorHAnsi" w:hAnsiTheme="minorHAnsi" w:cstheme="minorHAnsi"/>
              </w:rPr>
              <w:t>$)</w:t>
            </w:r>
          </w:p>
        </w:tc>
        <w:tc>
          <w:tcPr>
            <w:tcW w:w="2700" w:type="dxa"/>
          </w:tcPr>
          <w:p w14:paraId="3DF840EA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Production Runs</w:t>
            </w:r>
          </w:p>
        </w:tc>
        <w:tc>
          <w:tcPr>
            <w:tcW w:w="2790" w:type="dxa"/>
          </w:tcPr>
          <w:p w14:paraId="77DF1AF5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74,000</w:t>
            </w:r>
          </w:p>
        </w:tc>
      </w:tr>
      <w:tr w:rsidR="001E3A55" w:rsidRPr="0065419C" w14:paraId="04D53425" w14:textId="77777777" w:rsidTr="001E3A55">
        <w:tc>
          <w:tcPr>
            <w:tcW w:w="3865" w:type="dxa"/>
          </w:tcPr>
          <w:p w14:paraId="1946B596" w14:textId="77777777" w:rsidR="001E3A55" w:rsidRPr="0065419C" w:rsidRDefault="001E3A55" w:rsidP="001E3A5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 xml:space="preserve">Machine Running </w:t>
            </w:r>
            <w:proofErr w:type="gramStart"/>
            <w:r w:rsidRPr="0065419C">
              <w:rPr>
                <w:rFonts w:asciiTheme="minorHAnsi" w:hAnsiTheme="minorHAnsi" w:cstheme="minorHAnsi"/>
              </w:rPr>
              <w:t>Costs  (</w:t>
            </w:r>
            <w:proofErr w:type="gramEnd"/>
            <w:r w:rsidRPr="0065419C">
              <w:rPr>
                <w:rFonts w:asciiTheme="minorHAnsi" w:hAnsiTheme="minorHAnsi" w:cstheme="minorHAnsi"/>
              </w:rPr>
              <w:t>$)</w:t>
            </w:r>
          </w:p>
        </w:tc>
        <w:tc>
          <w:tcPr>
            <w:tcW w:w="2700" w:type="dxa"/>
          </w:tcPr>
          <w:p w14:paraId="48B0EE98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Machine Hours</w:t>
            </w:r>
          </w:p>
        </w:tc>
        <w:tc>
          <w:tcPr>
            <w:tcW w:w="2790" w:type="dxa"/>
          </w:tcPr>
          <w:p w14:paraId="46BE126A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120,000</w:t>
            </w:r>
          </w:p>
        </w:tc>
      </w:tr>
      <w:tr w:rsidR="001E3A55" w:rsidRPr="0065419C" w14:paraId="66B434B1" w14:textId="77777777" w:rsidTr="001E3A55">
        <w:tc>
          <w:tcPr>
            <w:tcW w:w="3865" w:type="dxa"/>
          </w:tcPr>
          <w:p w14:paraId="023E156F" w14:textId="77777777" w:rsidR="001E3A55" w:rsidRPr="0065419C" w:rsidRDefault="001E3A55" w:rsidP="001E3A5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 xml:space="preserve">Purchasing Costs          </w:t>
            </w:r>
            <w:proofErr w:type="gramStart"/>
            <w:r w:rsidRPr="0065419C">
              <w:rPr>
                <w:rFonts w:asciiTheme="minorHAnsi" w:hAnsiTheme="minorHAnsi" w:cstheme="minorHAnsi"/>
              </w:rPr>
              <w:t xml:space="preserve">   (</w:t>
            </w:r>
            <w:proofErr w:type="gramEnd"/>
            <w:r w:rsidRPr="0065419C">
              <w:rPr>
                <w:rFonts w:asciiTheme="minorHAnsi" w:hAnsiTheme="minorHAnsi" w:cstheme="minorHAnsi"/>
              </w:rPr>
              <w:t>$)</w:t>
            </w:r>
          </w:p>
        </w:tc>
        <w:tc>
          <w:tcPr>
            <w:tcW w:w="2700" w:type="dxa"/>
          </w:tcPr>
          <w:p w14:paraId="22C8FA53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Number of Purchases</w:t>
            </w:r>
          </w:p>
        </w:tc>
        <w:tc>
          <w:tcPr>
            <w:tcW w:w="2790" w:type="dxa"/>
          </w:tcPr>
          <w:p w14:paraId="13380212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94,000</w:t>
            </w:r>
          </w:p>
        </w:tc>
      </w:tr>
      <w:tr w:rsidR="001E3A55" w:rsidRPr="0065419C" w14:paraId="7A2C3FCE" w14:textId="77777777" w:rsidTr="001E3A55">
        <w:trPr>
          <w:trHeight w:val="413"/>
        </w:trPr>
        <w:tc>
          <w:tcPr>
            <w:tcW w:w="3865" w:type="dxa"/>
          </w:tcPr>
          <w:p w14:paraId="2A56676F" w14:textId="77777777" w:rsidR="001E3A55" w:rsidRPr="0065419C" w:rsidRDefault="001E3A55" w:rsidP="001E3A5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 xml:space="preserve">Delivery Costs              </w:t>
            </w:r>
            <w:proofErr w:type="gramStart"/>
            <w:r w:rsidRPr="0065419C">
              <w:rPr>
                <w:rFonts w:asciiTheme="minorHAnsi" w:hAnsiTheme="minorHAnsi" w:cstheme="minorHAnsi"/>
              </w:rPr>
              <w:t xml:space="preserve">   (</w:t>
            </w:r>
            <w:proofErr w:type="gramEnd"/>
            <w:r w:rsidRPr="0065419C">
              <w:rPr>
                <w:rFonts w:asciiTheme="minorHAnsi" w:hAnsiTheme="minorHAnsi" w:cstheme="minorHAnsi"/>
              </w:rPr>
              <w:t>$)</w:t>
            </w:r>
          </w:p>
        </w:tc>
        <w:tc>
          <w:tcPr>
            <w:tcW w:w="2700" w:type="dxa"/>
          </w:tcPr>
          <w:p w14:paraId="4FCACDD6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5419C">
              <w:rPr>
                <w:rFonts w:asciiTheme="minorHAnsi" w:hAnsiTheme="minorHAnsi" w:cstheme="minorHAnsi"/>
              </w:rPr>
              <w:t>Number of Deliveries</w:t>
            </w:r>
          </w:p>
        </w:tc>
        <w:tc>
          <w:tcPr>
            <w:tcW w:w="2790" w:type="dxa"/>
          </w:tcPr>
          <w:p w14:paraId="324773A5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65419C">
              <w:rPr>
                <w:rFonts w:asciiTheme="minorHAnsi" w:hAnsiTheme="minorHAnsi" w:cstheme="minorHAnsi"/>
              </w:rPr>
              <w:t>112,000</w:t>
            </w:r>
          </w:p>
        </w:tc>
      </w:tr>
      <w:tr w:rsidR="001E3A55" w:rsidRPr="0065419C" w14:paraId="3E6EDAEC" w14:textId="77777777" w:rsidTr="001E3A55">
        <w:tc>
          <w:tcPr>
            <w:tcW w:w="3865" w:type="dxa"/>
          </w:tcPr>
          <w:p w14:paraId="0E98AAE4" w14:textId="77777777" w:rsidR="001E3A55" w:rsidRPr="0065419C" w:rsidRDefault="001E3A55" w:rsidP="001E3A5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5419C">
              <w:rPr>
                <w:rFonts w:asciiTheme="minorHAnsi" w:hAnsiTheme="minorHAnsi" w:cstheme="minorHAnsi"/>
                <w:b/>
              </w:rPr>
              <w:t xml:space="preserve">Total </w:t>
            </w:r>
          </w:p>
        </w:tc>
        <w:tc>
          <w:tcPr>
            <w:tcW w:w="2700" w:type="dxa"/>
          </w:tcPr>
          <w:p w14:paraId="11E0936B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0" w:type="dxa"/>
          </w:tcPr>
          <w:p w14:paraId="6F843840" w14:textId="77777777" w:rsidR="001E3A55" w:rsidRPr="0065419C" w:rsidRDefault="001E3A55" w:rsidP="001E3A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5419C">
              <w:rPr>
                <w:rFonts w:asciiTheme="minorHAnsi" w:hAnsiTheme="minorHAnsi" w:cstheme="minorHAnsi"/>
                <w:b/>
              </w:rPr>
              <w:t>400,000</w:t>
            </w:r>
          </w:p>
        </w:tc>
      </w:tr>
    </w:tbl>
    <w:p w14:paraId="2A005ED7" w14:textId="5FEE0E8C" w:rsidR="001E3A55" w:rsidRDefault="001E3A55" w:rsidP="001E3A55">
      <w:pPr>
        <w:rPr>
          <w:rFonts w:cstheme="minorHAnsi"/>
        </w:rPr>
      </w:pPr>
    </w:p>
    <w:p w14:paraId="13F8EC9F" w14:textId="654FAB04" w:rsidR="001E3A55" w:rsidRPr="001E3A55" w:rsidRDefault="001E3A55" w:rsidP="001E3A55">
      <w:pPr>
        <w:rPr>
          <w:rFonts w:cstheme="minorHAnsi"/>
          <w:b/>
          <w:bCs/>
          <w:u w:val="single"/>
        </w:rPr>
      </w:pPr>
      <w:bookmarkStart w:id="0" w:name="_GoBack"/>
      <w:r w:rsidRPr="001E3A55">
        <w:rPr>
          <w:rFonts w:cstheme="minorHAnsi"/>
          <w:b/>
          <w:bCs/>
          <w:u w:val="single"/>
        </w:rPr>
        <w:t xml:space="preserve">Required: </w:t>
      </w:r>
    </w:p>
    <w:p w14:paraId="4AB102E6" w14:textId="51D2F8CB" w:rsidR="001E3A55" w:rsidRDefault="001E3A55" w:rsidP="001E3A55">
      <w:pPr>
        <w:pStyle w:val="ListParagraph"/>
        <w:numPr>
          <w:ilvl w:val="0"/>
          <w:numId w:val="1"/>
        </w:numPr>
        <w:rPr>
          <w:rFonts w:cstheme="minorHAnsi"/>
        </w:rPr>
      </w:pPr>
      <w:r w:rsidRPr="001E3A55">
        <w:rPr>
          <w:rFonts w:cstheme="minorHAnsi"/>
        </w:rPr>
        <w:t xml:space="preserve">Calculate the full cost per unit for products Black, Grey and White under traditional absorption costing, using direct </w:t>
      </w:r>
      <w:proofErr w:type="spellStart"/>
      <w:r w:rsidRPr="001E3A55">
        <w:rPr>
          <w:rFonts w:cstheme="minorHAnsi"/>
        </w:rPr>
        <w:t>labour</w:t>
      </w:r>
      <w:proofErr w:type="spellEnd"/>
      <w:r w:rsidRPr="001E3A55">
        <w:rPr>
          <w:rFonts w:cstheme="minorHAnsi"/>
        </w:rPr>
        <w:t xml:space="preserve"> hours as the basis for absorption</w:t>
      </w:r>
      <w:r>
        <w:rPr>
          <w:rFonts w:cstheme="minorHAnsi"/>
        </w:rPr>
        <w:t>.</w:t>
      </w:r>
    </w:p>
    <w:p w14:paraId="6D6E99D1" w14:textId="4F89F211" w:rsidR="001E3A55" w:rsidRDefault="001E3A55" w:rsidP="001E3A55">
      <w:pPr>
        <w:pStyle w:val="ListParagraph"/>
        <w:spacing w:line="360" w:lineRule="auto"/>
        <w:jc w:val="both"/>
        <w:rPr>
          <w:rFonts w:cstheme="minorHAnsi"/>
        </w:rPr>
      </w:pPr>
      <w:r w:rsidRPr="001E3A55">
        <w:rPr>
          <w:rFonts w:cstheme="minorHAnsi"/>
        </w:rPr>
        <w:lastRenderedPageBreak/>
        <w:t xml:space="preserve">Also Calculate the full cost per unit of each product using ABC (activity-based costing).  </w:t>
      </w:r>
      <w:r w:rsidRPr="001E3A55">
        <w:rPr>
          <w:rFonts w:cstheme="minorHAnsi"/>
        </w:rPr>
        <w:tab/>
      </w:r>
      <w:r w:rsidRPr="001E3A55">
        <w:rPr>
          <w:rFonts w:cstheme="minorHAnsi"/>
        </w:rPr>
        <w:tab/>
      </w:r>
      <w:r w:rsidRPr="001E3A55">
        <w:rPr>
          <w:rFonts w:cstheme="minorHAnsi"/>
        </w:rPr>
        <w:tab/>
      </w:r>
      <w:r w:rsidRPr="001E3A55">
        <w:rPr>
          <w:rFonts w:cstheme="minorHAnsi"/>
        </w:rPr>
        <w:tab/>
      </w:r>
      <w:r w:rsidRPr="001E3A55">
        <w:rPr>
          <w:rFonts w:cstheme="minorHAnsi"/>
        </w:rPr>
        <w:tab/>
      </w:r>
      <w:r w:rsidRPr="001E3A55">
        <w:rPr>
          <w:rFonts w:cstheme="minorHAnsi"/>
        </w:rPr>
        <w:tab/>
      </w:r>
      <w:r w:rsidRPr="001E3A55">
        <w:rPr>
          <w:rFonts w:cstheme="minorHAnsi"/>
        </w:rPr>
        <w:tab/>
      </w:r>
      <w:r w:rsidRPr="001E3A55">
        <w:rPr>
          <w:rFonts w:cstheme="minorHAnsi"/>
        </w:rPr>
        <w:tab/>
      </w:r>
      <w:r w:rsidRPr="001E3A55">
        <w:rPr>
          <w:rFonts w:cstheme="minorHAnsi"/>
        </w:rPr>
        <w:tab/>
      </w:r>
      <w:r w:rsidRPr="001E3A55">
        <w:rPr>
          <w:rFonts w:cstheme="minorHAnsi"/>
          <w:b/>
        </w:rPr>
        <w:t>[10%]</w:t>
      </w:r>
      <w:r w:rsidRPr="001E3A55">
        <w:rPr>
          <w:rFonts w:cstheme="minorHAnsi"/>
        </w:rPr>
        <w:t xml:space="preserve"> </w:t>
      </w:r>
    </w:p>
    <w:p w14:paraId="4FA2AFAB" w14:textId="77777777" w:rsidR="001E3A55" w:rsidRPr="0065419C" w:rsidRDefault="001E3A55" w:rsidP="001E3A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5419C">
        <w:rPr>
          <w:rFonts w:cstheme="minorHAnsi"/>
        </w:rPr>
        <w:t xml:space="preserve">Discuss the reasons for the changes in cost per unit when the costing system are changed from traditional absorption costing to ABC. </w:t>
      </w:r>
      <w:r w:rsidRPr="0065419C">
        <w:rPr>
          <w:rFonts w:cstheme="minorHAnsi"/>
        </w:rPr>
        <w:tab/>
      </w:r>
      <w:r w:rsidRPr="0065419C">
        <w:rPr>
          <w:rFonts w:cstheme="minorHAnsi"/>
        </w:rPr>
        <w:tab/>
      </w:r>
      <w:r w:rsidRPr="0065419C">
        <w:rPr>
          <w:rFonts w:cstheme="minorHAnsi"/>
          <w:b/>
        </w:rPr>
        <w:t>[20%]</w:t>
      </w:r>
      <w:r w:rsidRPr="0065419C">
        <w:rPr>
          <w:rFonts w:cstheme="minorHAnsi"/>
        </w:rPr>
        <w:t xml:space="preserve"> </w:t>
      </w:r>
    </w:p>
    <w:p w14:paraId="2F3A1FFE" w14:textId="77777777" w:rsidR="001E3A55" w:rsidRPr="0065419C" w:rsidRDefault="001E3A55" w:rsidP="001E3A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5419C">
        <w:rPr>
          <w:rFonts w:cstheme="minorHAnsi"/>
        </w:rPr>
        <w:t>Discuss the potential cost management implications of switching to an ABC system.</w:t>
      </w:r>
    </w:p>
    <w:p w14:paraId="63EA2A30" w14:textId="77777777" w:rsidR="001E3A55" w:rsidRPr="0065419C" w:rsidRDefault="001E3A55" w:rsidP="001E3A55">
      <w:pPr>
        <w:spacing w:line="360" w:lineRule="auto"/>
        <w:contextualSpacing/>
        <w:jc w:val="both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</w:t>
      </w:r>
      <w:r w:rsidRPr="0065419C">
        <w:rPr>
          <w:rFonts w:cstheme="minorHAnsi"/>
          <w:b/>
        </w:rPr>
        <w:t>[25%]</w:t>
      </w:r>
    </w:p>
    <w:p w14:paraId="29616841" w14:textId="77777777" w:rsidR="001E3A55" w:rsidRPr="0065419C" w:rsidRDefault="001E3A55" w:rsidP="001E3A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5419C">
        <w:rPr>
          <w:rFonts w:cstheme="minorHAnsi"/>
        </w:rPr>
        <w:t>Discuss the effects on pricing and product profitability from switching from traditional absorption costing to an ABC system.</w:t>
      </w:r>
      <w:r w:rsidRPr="0065419C">
        <w:rPr>
          <w:rFonts w:cstheme="minorHAnsi"/>
        </w:rPr>
        <w:tab/>
      </w:r>
      <w:r w:rsidRPr="0065419C">
        <w:rPr>
          <w:rFonts w:cstheme="minorHAnsi"/>
        </w:rPr>
        <w:tab/>
      </w:r>
      <w:r w:rsidRPr="0065419C">
        <w:rPr>
          <w:rFonts w:cstheme="minorHAnsi"/>
        </w:rPr>
        <w:tab/>
      </w:r>
      <w:r w:rsidRPr="0065419C">
        <w:rPr>
          <w:rFonts w:cstheme="minorHAnsi"/>
          <w:b/>
        </w:rPr>
        <w:t>[25%]</w:t>
      </w:r>
    </w:p>
    <w:p w14:paraId="18E93FE9" w14:textId="77777777" w:rsidR="001E3A55" w:rsidRPr="0065419C" w:rsidRDefault="001E3A55" w:rsidP="001E3A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5419C">
        <w:rPr>
          <w:rFonts w:cstheme="minorHAnsi"/>
        </w:rPr>
        <w:t>Explain the steps and possible pitfalls to avoid when introducing an ABC system into a business such as the one above.</w:t>
      </w:r>
      <w:r w:rsidRPr="0065419C">
        <w:rPr>
          <w:rFonts w:cstheme="minorHAnsi"/>
        </w:rPr>
        <w:tab/>
      </w:r>
      <w:r w:rsidRPr="0065419C">
        <w:rPr>
          <w:rFonts w:cstheme="minorHAnsi"/>
        </w:rPr>
        <w:tab/>
      </w:r>
      <w:r w:rsidRPr="0065419C">
        <w:rPr>
          <w:rFonts w:cstheme="minorHAnsi"/>
        </w:rPr>
        <w:tab/>
      </w:r>
      <w:r w:rsidRPr="0065419C">
        <w:rPr>
          <w:rFonts w:cstheme="minorHAnsi"/>
        </w:rPr>
        <w:tab/>
      </w:r>
      <w:r w:rsidRPr="0065419C">
        <w:rPr>
          <w:rFonts w:cstheme="minorHAnsi"/>
        </w:rPr>
        <w:tab/>
      </w:r>
      <w:r w:rsidRPr="0065419C">
        <w:rPr>
          <w:rFonts w:cstheme="minorHAnsi"/>
          <w:b/>
        </w:rPr>
        <w:t>[20%]</w:t>
      </w:r>
    </w:p>
    <w:p w14:paraId="5248FEFB" w14:textId="77777777" w:rsidR="001E3A55" w:rsidRDefault="001E3A55" w:rsidP="001E3A55">
      <w:pPr>
        <w:rPr>
          <w:rFonts w:cstheme="minorHAnsi"/>
        </w:rPr>
      </w:pPr>
    </w:p>
    <w:p w14:paraId="206D3955" w14:textId="47458D42" w:rsidR="001E3A55" w:rsidRPr="00DB4421" w:rsidRDefault="001E3A55" w:rsidP="001E3A55">
      <w:pPr>
        <w:rPr>
          <w:rFonts w:cstheme="minorHAnsi"/>
          <w:b/>
          <w:bCs/>
          <w:sz w:val="24"/>
          <w:szCs w:val="24"/>
          <w:u w:val="single"/>
        </w:rPr>
      </w:pPr>
      <w:r w:rsidRPr="00DB4421">
        <w:rPr>
          <w:rFonts w:cstheme="minorHAnsi"/>
          <w:b/>
          <w:bCs/>
          <w:sz w:val="24"/>
          <w:szCs w:val="24"/>
          <w:u w:val="single"/>
        </w:rPr>
        <w:t>Prepare a Business report on Case study based on all questions above. Max word limit is 1750 words</w:t>
      </w:r>
    </w:p>
    <w:p w14:paraId="0C787415" w14:textId="0409F8EA" w:rsidR="001E3A55" w:rsidRDefault="001E3A55" w:rsidP="001E3A55">
      <w:pPr>
        <w:rPr>
          <w:rFonts w:cstheme="minorHAnsi"/>
        </w:rPr>
      </w:pPr>
    </w:p>
    <w:bookmarkEnd w:id="0"/>
    <w:p w14:paraId="00171CDF" w14:textId="2813B84A" w:rsidR="00B261EC" w:rsidRDefault="00B261EC" w:rsidP="00B261EC">
      <w:pPr>
        <w:pStyle w:val="NormalWeb"/>
        <w:shd w:val="clear" w:color="auto" w:fill="FCFCFE"/>
        <w:spacing w:before="0" w:beforeAutospacing="0" w:after="0" w:afterAutospacing="0" w:line="240" w:lineRule="atLeast"/>
        <w:rPr>
          <w:rFonts w:ascii="Arial" w:hAnsi="Arial" w:cs="Arial"/>
          <w:i/>
          <w:iCs/>
          <w:color w:val="787E81"/>
          <w:sz w:val="18"/>
          <w:szCs w:val="18"/>
        </w:rPr>
      </w:pPr>
      <w:r>
        <w:rPr>
          <w:rFonts w:ascii="Arial" w:hAnsi="Arial" w:cs="Arial"/>
          <w:i/>
          <w:iCs/>
          <w:color w:val="787E81"/>
          <w:sz w:val="18"/>
          <w:szCs w:val="18"/>
        </w:rPr>
        <w:t>Library Resources given b</w:t>
      </w:r>
      <w:r w:rsidR="007F0E55">
        <w:rPr>
          <w:rFonts w:ascii="Arial" w:hAnsi="Arial" w:cs="Arial"/>
          <w:i/>
          <w:iCs/>
          <w:color w:val="787E81"/>
          <w:sz w:val="18"/>
          <w:szCs w:val="18"/>
        </w:rPr>
        <w:t>y</w:t>
      </w:r>
      <w:r>
        <w:rPr>
          <w:rFonts w:ascii="Arial" w:hAnsi="Arial" w:cs="Arial"/>
          <w:i/>
          <w:iCs/>
          <w:color w:val="787E81"/>
          <w:sz w:val="18"/>
          <w:szCs w:val="18"/>
        </w:rPr>
        <w:t xml:space="preserve"> the professor:</w:t>
      </w:r>
    </w:p>
    <w:p w14:paraId="11BB46E5" w14:textId="77777777" w:rsidR="00B261EC" w:rsidRDefault="00B261EC" w:rsidP="00B261EC">
      <w:pPr>
        <w:pStyle w:val="NormalWeb"/>
        <w:shd w:val="clear" w:color="auto" w:fill="FCFCFE"/>
        <w:spacing w:before="0" w:beforeAutospacing="0" w:after="0" w:afterAutospacing="0" w:line="240" w:lineRule="atLeast"/>
        <w:rPr>
          <w:rFonts w:ascii="Arial" w:hAnsi="Arial" w:cs="Arial"/>
          <w:i/>
          <w:iCs/>
          <w:color w:val="787E81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color w:val="787E81"/>
          <w:sz w:val="18"/>
          <w:szCs w:val="18"/>
        </w:rPr>
        <w:t>Atrill</w:t>
      </w:r>
      <w:proofErr w:type="spellEnd"/>
      <w:r>
        <w:rPr>
          <w:rFonts w:ascii="Arial" w:hAnsi="Arial" w:cs="Arial"/>
          <w:i/>
          <w:iCs/>
          <w:color w:val="787E81"/>
          <w:sz w:val="18"/>
          <w:szCs w:val="18"/>
        </w:rPr>
        <w:t>, P. &amp; McLaney, E. (2012) Accounting: An introduction. 6th Ed. UK, FT Prentice Hall.</w:t>
      </w:r>
    </w:p>
    <w:p w14:paraId="589B754A" w14:textId="77777777" w:rsidR="00B261EC" w:rsidRDefault="00B261EC" w:rsidP="00B261EC">
      <w:pPr>
        <w:pStyle w:val="NormalWeb"/>
        <w:shd w:val="clear" w:color="auto" w:fill="FCFCFE"/>
        <w:spacing w:before="0" w:beforeAutospacing="0" w:after="0" w:afterAutospacing="0" w:line="240" w:lineRule="atLeast"/>
        <w:rPr>
          <w:rFonts w:ascii="Arial" w:hAnsi="Arial" w:cs="Arial"/>
          <w:i/>
          <w:iCs/>
          <w:color w:val="787E81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color w:val="787E81"/>
          <w:sz w:val="18"/>
          <w:szCs w:val="18"/>
        </w:rPr>
        <w:t>Atrill</w:t>
      </w:r>
      <w:proofErr w:type="spellEnd"/>
      <w:r>
        <w:rPr>
          <w:rFonts w:ascii="Arial" w:hAnsi="Arial" w:cs="Arial"/>
          <w:i/>
          <w:iCs/>
          <w:color w:val="787E81"/>
          <w:sz w:val="18"/>
          <w:szCs w:val="18"/>
        </w:rPr>
        <w:t>, P. &amp; McLaney, E. (2013) Financial Accounting for Decision Makers. 7th Ed. UK, FT Prentice Hall.</w:t>
      </w:r>
    </w:p>
    <w:p w14:paraId="5EEF84EC" w14:textId="77777777" w:rsidR="00B261EC" w:rsidRDefault="00B261EC" w:rsidP="00B261EC">
      <w:pPr>
        <w:pStyle w:val="NormalWeb"/>
        <w:shd w:val="clear" w:color="auto" w:fill="FCFCFE"/>
        <w:spacing w:before="0" w:beforeAutospacing="0" w:after="0" w:afterAutospacing="0" w:line="240" w:lineRule="atLeast"/>
        <w:rPr>
          <w:rFonts w:ascii="Arial" w:hAnsi="Arial" w:cs="Arial"/>
          <w:i/>
          <w:iCs/>
          <w:color w:val="787E81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color w:val="787E81"/>
          <w:sz w:val="18"/>
          <w:szCs w:val="18"/>
        </w:rPr>
        <w:t>Gowthorpe</w:t>
      </w:r>
      <w:proofErr w:type="spellEnd"/>
      <w:r>
        <w:rPr>
          <w:rFonts w:ascii="Arial" w:hAnsi="Arial" w:cs="Arial"/>
          <w:i/>
          <w:iCs/>
          <w:color w:val="787E81"/>
          <w:sz w:val="18"/>
          <w:szCs w:val="18"/>
        </w:rPr>
        <w:t>, C. (2005) Business Accounting and Finance. 3rd Ed. UK, Cengage Learning.</w:t>
      </w:r>
    </w:p>
    <w:p w14:paraId="25CB2EB9" w14:textId="77777777" w:rsidR="00B261EC" w:rsidRDefault="00B261EC" w:rsidP="00B261EC">
      <w:pPr>
        <w:pStyle w:val="NormalWeb"/>
        <w:shd w:val="clear" w:color="auto" w:fill="FCFCFE"/>
        <w:spacing w:before="0" w:beforeAutospacing="0" w:after="0" w:afterAutospacing="0" w:line="240" w:lineRule="atLeast"/>
        <w:rPr>
          <w:rFonts w:ascii="Arial" w:hAnsi="Arial" w:cs="Arial"/>
          <w:i/>
          <w:iCs/>
          <w:color w:val="787E81"/>
          <w:sz w:val="18"/>
          <w:szCs w:val="18"/>
        </w:rPr>
      </w:pPr>
      <w:r>
        <w:rPr>
          <w:rFonts w:ascii="Arial" w:hAnsi="Arial" w:cs="Arial"/>
          <w:i/>
          <w:iCs/>
          <w:color w:val="787E81"/>
          <w:sz w:val="18"/>
          <w:szCs w:val="18"/>
        </w:rPr>
        <w:t>McKenzie, W. (2009) FT Guide to Using and Interpreting Company Accounts. 4th Ed. UK, FT Prentice Hall.</w:t>
      </w:r>
    </w:p>
    <w:p w14:paraId="7ECC32A4" w14:textId="499B4EC2" w:rsidR="00B261EC" w:rsidRDefault="00B261EC" w:rsidP="00B261EC">
      <w:pPr>
        <w:pStyle w:val="NormalWeb"/>
        <w:shd w:val="clear" w:color="auto" w:fill="F8FAFC"/>
        <w:spacing w:before="0" w:beforeAutospacing="0" w:after="0" w:afterAutospacing="0" w:line="300" w:lineRule="atLeast"/>
        <w:rPr>
          <w:rFonts w:ascii="Arial" w:hAnsi="Arial" w:cs="Arial"/>
          <w:i/>
          <w:iCs/>
          <w:color w:val="A5B0B4"/>
          <w:sz w:val="18"/>
          <w:szCs w:val="18"/>
        </w:rPr>
      </w:pPr>
      <w:r>
        <w:rPr>
          <w:rFonts w:ascii="Arial" w:hAnsi="Arial" w:cs="Arial"/>
          <w:i/>
          <w:iCs/>
          <w:color w:val="A5B0B4"/>
          <w:sz w:val="18"/>
          <w:szCs w:val="18"/>
        </w:rPr>
        <w:t>.</w:t>
      </w:r>
    </w:p>
    <w:sectPr w:rsidR="00B26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42F34" w14:textId="77777777" w:rsidR="00552FCF" w:rsidRDefault="00552FCF" w:rsidP="001E3A55">
      <w:pPr>
        <w:spacing w:after="0" w:line="240" w:lineRule="auto"/>
      </w:pPr>
      <w:r>
        <w:separator/>
      </w:r>
    </w:p>
  </w:endnote>
  <w:endnote w:type="continuationSeparator" w:id="0">
    <w:p w14:paraId="0C946B71" w14:textId="77777777" w:rsidR="00552FCF" w:rsidRDefault="00552FCF" w:rsidP="001E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23E15" w14:textId="77777777" w:rsidR="00552FCF" w:rsidRDefault="00552FCF" w:rsidP="001E3A55">
      <w:pPr>
        <w:spacing w:after="0" w:line="240" w:lineRule="auto"/>
      </w:pPr>
      <w:r>
        <w:separator/>
      </w:r>
    </w:p>
  </w:footnote>
  <w:footnote w:type="continuationSeparator" w:id="0">
    <w:p w14:paraId="120DB79E" w14:textId="77777777" w:rsidR="00552FCF" w:rsidRDefault="00552FCF" w:rsidP="001E3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F6BAE"/>
    <w:multiLevelType w:val="hybridMultilevel"/>
    <w:tmpl w:val="627A3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D5876"/>
    <w:multiLevelType w:val="hybridMultilevel"/>
    <w:tmpl w:val="02C824C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0080B"/>
    <w:multiLevelType w:val="hybridMultilevel"/>
    <w:tmpl w:val="0DDAB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55"/>
    <w:rsid w:val="001E3A55"/>
    <w:rsid w:val="00552FCF"/>
    <w:rsid w:val="006B6BC0"/>
    <w:rsid w:val="006D304F"/>
    <w:rsid w:val="007F0E55"/>
    <w:rsid w:val="00B261EC"/>
    <w:rsid w:val="00BB01FC"/>
    <w:rsid w:val="00CF4E2F"/>
    <w:rsid w:val="00D10118"/>
    <w:rsid w:val="00DB4421"/>
    <w:rsid w:val="00E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1043"/>
  <w15:chartTrackingRefBased/>
  <w15:docId w15:val="{39F4C96F-060B-48F7-930F-19FFFE58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3A55"/>
    <w:rPr>
      <w:color w:val="0000FF"/>
      <w:u w:val="single"/>
    </w:rPr>
  </w:style>
  <w:style w:type="table" w:styleId="TableGrid">
    <w:name w:val="Table Grid"/>
    <w:basedOn w:val="TableNormal"/>
    <w:uiPriority w:val="59"/>
    <w:rsid w:val="001E3A5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A55"/>
  </w:style>
  <w:style w:type="paragraph" w:styleId="Footer">
    <w:name w:val="footer"/>
    <w:basedOn w:val="Normal"/>
    <w:link w:val="FooterChar"/>
    <w:uiPriority w:val="99"/>
    <w:unhideWhenUsed/>
    <w:rsid w:val="001E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A55"/>
  </w:style>
  <w:style w:type="paragraph" w:styleId="ListParagraph">
    <w:name w:val="List Paragraph"/>
    <w:basedOn w:val="Normal"/>
    <w:uiPriority w:val="34"/>
    <w:qFormat/>
    <w:rsid w:val="001E3A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tshowinfo">
    <w:name w:val="chat_show_info"/>
    <w:basedOn w:val="DefaultParagraphFont"/>
    <w:rsid w:val="00B261E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61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61E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61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61E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C3C6CE"/>
            <w:right w:val="none" w:sz="0" w:space="0" w:color="auto"/>
          </w:divBdr>
          <w:divsChild>
            <w:div w:id="2607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39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3C6CE"/>
            <w:right w:val="none" w:sz="0" w:space="0" w:color="auto"/>
          </w:divBdr>
          <w:divsChild>
            <w:div w:id="337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2020-03-07T14:54:00Z</dcterms:created>
  <dcterms:modified xsi:type="dcterms:W3CDTF">2020-03-07T14:54:00Z</dcterms:modified>
</cp:coreProperties>
</file>