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EF493" w14:textId="350B7F9B" w:rsidR="00807743" w:rsidRDefault="00807743">
      <w:r>
        <w:rPr>
          <w:rFonts w:ascii="Verdana" w:hAnsi="Verdana"/>
          <w:color w:val="000000"/>
          <w:sz w:val="17"/>
          <w:szCs w:val="17"/>
          <w:shd w:val="clear" w:color="auto" w:fill="FFFFFF"/>
        </w:rPr>
        <w:t>Description The aim of this unit is to develop your knowledge and understanding of inclusive practice. You will learn about factors influencing learning, and legislation relating to inclusive practice. You will also cover the roles and responsibilities relating to inclusive practice, how to create and maintain an inclusive learning environment and how to evaluate own inclusive practice. </w:t>
      </w:r>
      <w:bookmarkStart w:id="0" w:name="_GoBack"/>
      <w:bookmarkEnd w:id="0"/>
    </w:p>
    <w:sectPr w:rsidR="00807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43"/>
    <w:rsid w:val="0080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CC9A"/>
  <w15:chartTrackingRefBased/>
  <w15:docId w15:val="{19C7A54C-DD9B-4501-99B3-F2CCF0E1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2020-04-05T09:41:00Z</dcterms:created>
  <dcterms:modified xsi:type="dcterms:W3CDTF">2020-04-05T09:41:00Z</dcterms:modified>
</cp:coreProperties>
</file>