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E8DD" w14:textId="1B3479A6" w:rsidR="00DB2B96" w:rsidRDefault="00DB2B96">
      <w:r>
        <w:rPr>
          <w:rFonts w:ascii="Verdana" w:hAnsi="Verdana"/>
          <w:color w:val="000000"/>
          <w:sz w:val="17"/>
          <w:szCs w:val="17"/>
          <w:shd w:val="clear" w:color="auto" w:fill="FFFFFF"/>
        </w:rPr>
        <w:t xml:space="preserve">Description Essay Question" “Thus, SARs [Suspicious Activity Reports] are a potential treasure trove for plaintiffs and their attorneys…for use in civil litigation. This is particularly true now, in an environment in which banks tend to err on the side of reporting, rather than ignoring marginal activity. A SAR may provide a plaintiff with an invaluable roadmap to potential claims against a bank or its customers and numerous other insights into facts and conduct that bank management normally considers confidential.” A Lakatos and M </w:t>
      </w:r>
      <w:proofErr w:type="spellStart"/>
      <w:r>
        <w:rPr>
          <w:rFonts w:ascii="Verdana" w:hAnsi="Verdana"/>
          <w:color w:val="000000"/>
          <w:sz w:val="17"/>
          <w:szCs w:val="17"/>
          <w:shd w:val="clear" w:color="auto" w:fill="FFFFFF"/>
        </w:rPr>
        <w:t>Hanchet</w:t>
      </w:r>
      <w:proofErr w:type="spellEnd"/>
      <w:r>
        <w:rPr>
          <w:rFonts w:ascii="Verdana" w:hAnsi="Verdana"/>
          <w:color w:val="000000"/>
          <w:sz w:val="17"/>
          <w:szCs w:val="17"/>
          <w:shd w:val="clear" w:color="auto" w:fill="FFFFFF"/>
        </w:rPr>
        <w:t>, ‘Confidentiality of Suspicious Activity Reports’ (2007) 124(9) Banking Law Journal 794 at 795 Given their importance in detecting financial crime, what degree of transparency should the public and investors have, in relation to the publication of suspicious activity reports and why?</w:t>
      </w:r>
      <w:bookmarkStart w:id="0" w:name="_GoBack"/>
      <w:bookmarkEnd w:id="0"/>
    </w:p>
    <w:sectPr w:rsidR="00DB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96"/>
    <w:rsid w:val="00DB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0B8"/>
  <w15:chartTrackingRefBased/>
  <w15:docId w15:val="{6D6EC0CD-0B6D-49D5-B98E-5C711C6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2020-04-10T04:32:00Z</dcterms:created>
  <dcterms:modified xsi:type="dcterms:W3CDTF">2020-04-10T04:33:00Z</dcterms:modified>
</cp:coreProperties>
</file>