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B64C" w14:textId="4BEF4163" w:rsidR="002F0E81" w:rsidRPr="002F0E81" w:rsidRDefault="002F0E81" w:rsidP="002F0E81">
      <w:pPr>
        <w:jc w:val="center"/>
        <w:rPr>
          <w:b/>
          <w:bCs/>
          <w:sz w:val="28"/>
          <w:szCs w:val="28"/>
        </w:rPr>
      </w:pPr>
    </w:p>
    <w:p w14:paraId="49F4CB01" w14:textId="298819BA" w:rsidR="00A4223D" w:rsidRPr="002F0E81" w:rsidRDefault="00247272" w:rsidP="00247272">
      <w:pPr>
        <w:jc w:val="center"/>
        <w:rPr>
          <w:b/>
          <w:bCs/>
          <w:sz w:val="28"/>
          <w:szCs w:val="28"/>
        </w:rPr>
      </w:pPr>
      <w:r w:rsidRPr="002F0E81">
        <w:rPr>
          <w:b/>
          <w:bCs/>
          <w:sz w:val="28"/>
          <w:szCs w:val="28"/>
        </w:rPr>
        <w:t>Case Example Learning Report</w:t>
      </w:r>
      <w:r w:rsidR="002F0E81" w:rsidRPr="002F0E81">
        <w:rPr>
          <w:b/>
          <w:bCs/>
          <w:sz w:val="28"/>
          <w:szCs w:val="28"/>
        </w:rPr>
        <w:t xml:space="preserve"> Assessment Instructions</w:t>
      </w:r>
    </w:p>
    <w:p w14:paraId="0CA0505C" w14:textId="77777777" w:rsidR="002F0E81" w:rsidRDefault="002F0E81">
      <w:pPr>
        <w:rPr>
          <w:b/>
          <w:bCs/>
        </w:rPr>
      </w:pPr>
    </w:p>
    <w:p w14:paraId="3B9E2A98" w14:textId="4CAFBADB" w:rsidR="00247272" w:rsidRPr="002F0E81" w:rsidRDefault="00247272">
      <w:pPr>
        <w:rPr>
          <w:b/>
          <w:bCs/>
          <w:sz w:val="24"/>
          <w:szCs w:val="24"/>
        </w:rPr>
      </w:pPr>
      <w:r w:rsidRPr="002F0E81">
        <w:rPr>
          <w:b/>
          <w:bCs/>
          <w:sz w:val="24"/>
          <w:szCs w:val="24"/>
        </w:rPr>
        <w:t xml:space="preserve">Due Date: April 17, 2020 </w:t>
      </w:r>
    </w:p>
    <w:p w14:paraId="6BD8278F" w14:textId="77777777" w:rsidR="002F0E81" w:rsidRPr="002F0E81" w:rsidRDefault="002F0E81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463C99E1" w14:textId="77777777" w:rsidR="002F0E81" w:rsidRDefault="002F0E81">
      <w:pPr>
        <w:rPr>
          <w:b/>
          <w:bCs/>
        </w:rPr>
      </w:pPr>
    </w:p>
    <w:p w14:paraId="1E1F1542" w14:textId="6ECC5E1B" w:rsidR="00247272" w:rsidRDefault="00247272">
      <w:pPr>
        <w:rPr>
          <w:b/>
          <w:bCs/>
        </w:rPr>
      </w:pPr>
      <w:r>
        <w:rPr>
          <w:b/>
          <w:bCs/>
        </w:rPr>
        <w:t>Introduction</w:t>
      </w:r>
    </w:p>
    <w:p w14:paraId="31431311" w14:textId="54022A5D" w:rsidR="00247272" w:rsidRDefault="00247272">
      <w:r>
        <w:t xml:space="preserve">Your Case Example Learning Report is based on the Google Glass </w:t>
      </w:r>
      <w:r w:rsidR="002B2784">
        <w:t>c</w:t>
      </w:r>
      <w:r>
        <w:t xml:space="preserve">ase </w:t>
      </w:r>
      <w:r w:rsidR="002B2784">
        <w:t>study</w:t>
      </w:r>
      <w:r>
        <w:t xml:space="preserve"> discussed in Weekend One.  The learning objective for this assessment is meant to help students internalise and apply key learnings from Weekend 1’s Required Readings and </w:t>
      </w:r>
      <w:r w:rsidR="002B2784">
        <w:t>c</w:t>
      </w:r>
      <w:r>
        <w:t xml:space="preserve">lass </w:t>
      </w:r>
      <w:r w:rsidR="002B2784">
        <w:t>content</w:t>
      </w:r>
      <w:r>
        <w:t>. (See Module 1 &amp; 2 in Learning Resources in Blackboard course site)</w:t>
      </w:r>
      <w:r w:rsidR="00D4110C">
        <w:t xml:space="preserve">.  To achieve high marks for this assessment, students should note the </w:t>
      </w:r>
      <w:r w:rsidR="00B0743B">
        <w:t>Criteria and M</w:t>
      </w:r>
      <w:r w:rsidR="00D4110C">
        <w:t xml:space="preserve">arking rubric (below) </w:t>
      </w:r>
      <w:r w:rsidR="002B2784">
        <w:t xml:space="preserve">and </w:t>
      </w:r>
      <w:r w:rsidR="00D4110C">
        <w:t xml:space="preserve">strive to </w:t>
      </w:r>
      <w:r w:rsidR="002B2784">
        <w:t xml:space="preserve">critically discuss </w:t>
      </w:r>
      <w:r w:rsidR="00D4110C">
        <w:t xml:space="preserve">and apply key concepts from Weekend 1 </w:t>
      </w:r>
      <w:r w:rsidR="002B2784">
        <w:t>with reference to the readings and class content.</w:t>
      </w:r>
    </w:p>
    <w:p w14:paraId="29A86CC2" w14:textId="588E8075" w:rsidR="00D4110C" w:rsidRDefault="00D4110C">
      <w:r>
        <w:t xml:space="preserve">Your report can follow the sub-headings </w:t>
      </w:r>
      <w:r w:rsidR="002B2784">
        <w:t xml:space="preserve">below </w:t>
      </w:r>
      <w:r>
        <w:t xml:space="preserve">as you critically </w:t>
      </w:r>
      <w:r w:rsidR="002B2784">
        <w:t>examine</w:t>
      </w:r>
      <w:r>
        <w:t xml:space="preserve"> key concepts</w:t>
      </w:r>
      <w:r w:rsidR="00830E36">
        <w:t xml:space="preserve">, </w:t>
      </w:r>
      <w:r>
        <w:t>theor</w:t>
      </w:r>
      <w:r w:rsidR="00830E36">
        <w:t>ies, and terms</w:t>
      </w:r>
      <w:r>
        <w:t xml:space="preserve"> to Google Glass case example.</w:t>
      </w:r>
      <w:r w:rsidR="00B42F7C">
        <w:t xml:space="preserve">  (Hint: The more you integrate readings,</w:t>
      </w:r>
      <w:r w:rsidR="002B2784">
        <w:t xml:space="preserve"> </w:t>
      </w:r>
      <w:r w:rsidR="00B42F7C">
        <w:t>class content, and terminology into your critical discussion</w:t>
      </w:r>
      <w:r w:rsidR="002B2784">
        <w:t xml:space="preserve"> of Google Glass</w:t>
      </w:r>
      <w:r w:rsidR="00B42F7C">
        <w:t>, the higher your marks!</w:t>
      </w:r>
      <w:r w:rsidR="002B2784">
        <w:t xml:space="preserve">  However, don’t just simply “term drop” or “name drop” – critically discuss the how and the why</w:t>
      </w:r>
      <w:r w:rsidR="00B42F7C">
        <w:t>)</w:t>
      </w:r>
    </w:p>
    <w:p w14:paraId="75085DCE" w14:textId="77777777" w:rsidR="00D4110C" w:rsidRDefault="00D4110C"/>
    <w:p w14:paraId="4D30AB95" w14:textId="279FD4B7" w:rsidR="00D4110C" w:rsidRPr="00830E36" w:rsidRDefault="00D4110C">
      <w:pPr>
        <w:rPr>
          <w:b/>
          <w:bCs/>
        </w:rPr>
      </w:pPr>
      <w:r w:rsidRPr="00830E36">
        <w:rPr>
          <w:b/>
          <w:bCs/>
        </w:rPr>
        <w:t xml:space="preserve">Part </w:t>
      </w:r>
      <w:r w:rsidR="007E3A0D">
        <w:rPr>
          <w:b/>
          <w:bCs/>
        </w:rPr>
        <w:t>1</w:t>
      </w:r>
      <w:bookmarkStart w:id="0" w:name="_GoBack"/>
      <w:bookmarkEnd w:id="0"/>
      <w:r w:rsidRPr="00830E36">
        <w:rPr>
          <w:b/>
          <w:bCs/>
        </w:rPr>
        <w:t>: Wh</w:t>
      </w:r>
      <w:r w:rsidR="003923F7" w:rsidRPr="00830E36">
        <w:rPr>
          <w:b/>
          <w:bCs/>
        </w:rPr>
        <w:t>ere do Ideas Come from</w:t>
      </w:r>
      <w:r w:rsidRPr="00830E36">
        <w:rPr>
          <w:b/>
          <w:bCs/>
        </w:rPr>
        <w:t>?</w:t>
      </w:r>
      <w:r w:rsidR="00830E36">
        <w:rPr>
          <w:b/>
          <w:bCs/>
        </w:rPr>
        <w:t xml:space="preserve"> (</w:t>
      </w:r>
      <w:r w:rsidR="000E01C4">
        <w:rPr>
          <w:b/>
          <w:bCs/>
        </w:rPr>
        <w:t>100</w:t>
      </w:r>
      <w:r w:rsidR="00830E36">
        <w:rPr>
          <w:b/>
          <w:bCs/>
        </w:rPr>
        <w:t>0 words)</w:t>
      </w:r>
    </w:p>
    <w:p w14:paraId="79C6B920" w14:textId="25CC2CD7" w:rsidR="003923F7" w:rsidRDefault="00830E36">
      <w:r>
        <w:t xml:space="preserve">In Weekend 1, we discussed different approaches to the way entrepreneurs </w:t>
      </w:r>
      <w:r w:rsidRPr="00830E36">
        <w:rPr>
          <w:b/>
          <w:bCs/>
          <w:i/>
          <w:iCs/>
        </w:rPr>
        <w:t>act</w:t>
      </w:r>
      <w:r>
        <w:t xml:space="preserve"> in identifying and pursuing innovation ideas.  In this section, students should critically discuss d</w:t>
      </w:r>
      <w:r w:rsidR="00D4110C">
        <w:t xml:space="preserve">iscovery vs. </w:t>
      </w:r>
      <w:r>
        <w:t>c</w:t>
      </w:r>
      <w:r w:rsidR="00D4110C">
        <w:t>reation approach</w:t>
      </w:r>
      <w:r>
        <w:t>es</w:t>
      </w:r>
      <w:r w:rsidR="00D4110C">
        <w:t xml:space="preserve">, </w:t>
      </w:r>
      <w:r w:rsidR="004158BC">
        <w:t xml:space="preserve">and </w:t>
      </w:r>
      <w:r>
        <w:t xml:space="preserve">related </w:t>
      </w:r>
      <w:r w:rsidR="00D4110C">
        <w:t xml:space="preserve">causal vs. effectual logic, and </w:t>
      </w:r>
      <w:r>
        <w:t>the “Entrepreneurial Method</w:t>
      </w:r>
      <w:r w:rsidR="00B42F7C">
        <w:t>”</w:t>
      </w:r>
      <w:r>
        <w:t xml:space="preserve"> (</w:t>
      </w:r>
      <w:proofErr w:type="spellStart"/>
      <w:r>
        <w:t>Saravathy</w:t>
      </w:r>
      <w:proofErr w:type="spellEnd"/>
      <w:r>
        <w:t>) from the Required Readings and critically examine how these concepts apply</w:t>
      </w:r>
      <w:r w:rsidR="004158BC">
        <w:t xml:space="preserve"> (or not) </w:t>
      </w:r>
      <w:r>
        <w:t>to the Google Glass case example.</w:t>
      </w:r>
      <w:r w:rsidR="00287F58">
        <w:t xml:space="preserve">  The role of path dependencies and the resource-based view of the firm is also discussed in how the firm creates and sustains competitive advantage.</w:t>
      </w:r>
      <w:r w:rsidR="00D4110C">
        <w:t xml:space="preserve">  </w:t>
      </w:r>
    </w:p>
    <w:p w14:paraId="5E9C07F9" w14:textId="77777777" w:rsidR="003923F7" w:rsidRDefault="003923F7"/>
    <w:p w14:paraId="3F63DEE6" w14:textId="38B38787" w:rsidR="004158BC" w:rsidRDefault="003923F7">
      <w:pPr>
        <w:rPr>
          <w:b/>
          <w:bCs/>
        </w:rPr>
      </w:pPr>
      <w:r w:rsidRPr="00830E36">
        <w:rPr>
          <w:b/>
          <w:bCs/>
        </w:rPr>
        <w:t xml:space="preserve">Part </w:t>
      </w:r>
      <w:r w:rsidR="007E3A0D">
        <w:rPr>
          <w:b/>
          <w:bCs/>
        </w:rPr>
        <w:t>2</w:t>
      </w:r>
      <w:r w:rsidRPr="00830E36">
        <w:rPr>
          <w:b/>
          <w:bCs/>
        </w:rPr>
        <w:t>: What is an Entrepreneur?</w:t>
      </w:r>
      <w:r w:rsidR="00830E36">
        <w:rPr>
          <w:b/>
          <w:bCs/>
        </w:rPr>
        <w:t xml:space="preserve"> (</w:t>
      </w:r>
      <w:r w:rsidR="000E01C4">
        <w:rPr>
          <w:b/>
          <w:bCs/>
        </w:rPr>
        <w:t>5</w:t>
      </w:r>
      <w:r w:rsidR="00830E36">
        <w:rPr>
          <w:b/>
          <w:bCs/>
        </w:rPr>
        <w:t>00 words)</w:t>
      </w:r>
      <w:r w:rsidR="00D4110C" w:rsidRPr="00830E36">
        <w:rPr>
          <w:b/>
          <w:bCs/>
        </w:rPr>
        <w:t xml:space="preserve"> </w:t>
      </w:r>
    </w:p>
    <w:p w14:paraId="3ED4509F" w14:textId="666DF217" w:rsidR="004158BC" w:rsidRDefault="004158BC">
      <w:r>
        <w:t xml:space="preserve">In Weekend 1, we discussed various definitions for what exactly </w:t>
      </w:r>
      <w:r w:rsidRPr="004158BC">
        <w:rPr>
          <w:b/>
          <w:bCs/>
          <w:i/>
          <w:iCs/>
        </w:rPr>
        <w:t>IS</w:t>
      </w:r>
      <w:r>
        <w:t xml:space="preserve"> an entrepreneur.  Historically, researchers have tried to define entrepreneurs by unique traits</w:t>
      </w:r>
      <w:r w:rsidR="009B65FB">
        <w:t xml:space="preserve"> and cognitive abilities, while </w:t>
      </w:r>
      <w:r>
        <w:t>other</w:t>
      </w:r>
      <w:r w:rsidR="009B65FB">
        <w:t>s</w:t>
      </w:r>
      <w:r>
        <w:t xml:space="preserve"> more recently </w:t>
      </w:r>
      <w:r w:rsidR="009B65FB">
        <w:t xml:space="preserve">focus on </w:t>
      </w:r>
      <w:r>
        <w:t xml:space="preserve">the actions </w:t>
      </w:r>
      <w:r w:rsidR="009B65FB">
        <w:t xml:space="preserve">and behaviours entrepreneurs take </w:t>
      </w:r>
      <w:r>
        <w:t>which are performed better or faster than non-entrepreneurs.  Lastly, we discussed various “myths” commonly held about entrepreneurs in different contexts.  In this section, you</w:t>
      </w:r>
      <w:r w:rsidR="009B65FB">
        <w:t xml:space="preserve"> are invited to reflect critically about </w:t>
      </w:r>
      <w:r>
        <w:t>what you think is an entrepreneur and what defines him/her and how they</w:t>
      </w:r>
      <w:r w:rsidR="009B65FB">
        <w:t xml:space="preserve"> might be </w:t>
      </w:r>
      <w:r>
        <w:t xml:space="preserve">different from non-entrepreneurs.  Be sure to reflect on your own pre-conceptions that you may have held BEFORE Weekend 1 and how this may have changed after doing the Required Readings and </w:t>
      </w:r>
      <w:r w:rsidR="009B65FB">
        <w:t>reflecting on</w:t>
      </w:r>
      <w:r>
        <w:t xml:space="preserve"> our first weekend’s recorded class activities.</w:t>
      </w:r>
    </w:p>
    <w:p w14:paraId="6B0BCBC8" w14:textId="77777777" w:rsidR="00F923C9" w:rsidRPr="00F923C9" w:rsidRDefault="00F923C9" w:rsidP="00F923C9">
      <w:pPr>
        <w:spacing w:after="0" w:line="240" w:lineRule="auto"/>
        <w:rPr>
          <w:rFonts w:cstheme="minorHAnsi"/>
          <w:b/>
        </w:rPr>
      </w:pPr>
      <w:r w:rsidRPr="00F923C9">
        <w:rPr>
          <w:rFonts w:cstheme="minorHAnsi"/>
          <w:b/>
        </w:rPr>
        <w:t>Format</w:t>
      </w:r>
    </w:p>
    <w:p w14:paraId="3E95A5CD" w14:textId="77777777" w:rsidR="00F923C9" w:rsidRPr="00F923C9" w:rsidRDefault="00F923C9" w:rsidP="00F923C9">
      <w:pPr>
        <w:spacing w:after="0" w:line="240" w:lineRule="auto"/>
        <w:rPr>
          <w:rFonts w:cstheme="minorHAnsi"/>
          <w:b/>
        </w:rPr>
      </w:pPr>
    </w:p>
    <w:p w14:paraId="0E0683EA" w14:textId="77777777" w:rsidR="00F923C9" w:rsidRPr="00F923C9" w:rsidRDefault="00F923C9" w:rsidP="00F923C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23C9">
        <w:rPr>
          <w:rFonts w:cstheme="minorHAnsi"/>
        </w:rPr>
        <w:t>Use page numbering.</w:t>
      </w:r>
    </w:p>
    <w:p w14:paraId="2AFF64B4" w14:textId="77777777" w:rsidR="00F923C9" w:rsidRPr="00F923C9" w:rsidRDefault="00F923C9" w:rsidP="00F923C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23C9">
        <w:rPr>
          <w:rFonts w:cstheme="minorHAnsi"/>
        </w:rPr>
        <w:lastRenderedPageBreak/>
        <w:t xml:space="preserve">Submit your paper online through the </w:t>
      </w:r>
      <w:proofErr w:type="spellStart"/>
      <w:r w:rsidRPr="00F923C9">
        <w:rPr>
          <w:rFonts w:cstheme="minorHAnsi"/>
        </w:rPr>
        <w:t>TurnitIn</w:t>
      </w:r>
      <w:proofErr w:type="spellEnd"/>
      <w:r w:rsidRPr="00F923C9">
        <w:rPr>
          <w:rFonts w:cstheme="minorHAnsi"/>
        </w:rPr>
        <w:t xml:space="preserve"> link on Blackboard. </w:t>
      </w:r>
    </w:p>
    <w:p w14:paraId="22C705D0" w14:textId="77777777" w:rsidR="00F923C9" w:rsidRPr="00F923C9" w:rsidRDefault="00F923C9" w:rsidP="00F923C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923C9">
        <w:rPr>
          <w:rFonts w:cstheme="minorHAnsi"/>
        </w:rPr>
        <w:t>The paper should contain the following:</w:t>
      </w:r>
    </w:p>
    <w:p w14:paraId="2A103F31" w14:textId="7B7681F8" w:rsidR="00F923C9" w:rsidRDefault="00F923C9" w:rsidP="00F923C9">
      <w:pPr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F923C9">
        <w:rPr>
          <w:rFonts w:cstheme="minorHAnsi"/>
        </w:rPr>
        <w:t>References. Use consistent and clear format. Choice of style (e.g. APA, Harvard) is up to you.</w:t>
      </w:r>
    </w:p>
    <w:p w14:paraId="0C650367" w14:textId="1A404715" w:rsidR="00F923C9" w:rsidRDefault="00F923C9" w:rsidP="00F923C9">
      <w:pPr>
        <w:spacing w:after="0" w:line="240" w:lineRule="auto"/>
        <w:rPr>
          <w:rFonts w:cstheme="minorHAnsi"/>
        </w:rPr>
      </w:pPr>
    </w:p>
    <w:p w14:paraId="2E8E252A" w14:textId="1E3499D8" w:rsidR="00F923C9" w:rsidRPr="00B0743B" w:rsidRDefault="00F923C9" w:rsidP="00F923C9">
      <w:pPr>
        <w:spacing w:after="0" w:line="240" w:lineRule="auto"/>
        <w:rPr>
          <w:rFonts w:cstheme="minorHAnsi"/>
        </w:rPr>
      </w:pPr>
    </w:p>
    <w:p w14:paraId="30FAD58D" w14:textId="3D0579F7" w:rsidR="00B0743B" w:rsidRDefault="00B0743B" w:rsidP="00B0743B">
      <w:pPr>
        <w:shd w:val="clear" w:color="auto" w:fill="FFFFFF"/>
        <w:spacing w:after="0" w:line="252" w:lineRule="atLeast"/>
        <w:rPr>
          <w:rFonts w:eastAsia="Times New Roman" w:cstheme="minorHAnsi"/>
          <w:b/>
          <w:bCs/>
          <w:color w:val="000000"/>
          <w:lang w:eastAsia="en-AU"/>
        </w:rPr>
      </w:pPr>
      <w:r w:rsidRPr="00B0743B">
        <w:rPr>
          <w:rFonts w:eastAsia="Times New Roman" w:cstheme="minorHAnsi"/>
          <w:b/>
          <w:bCs/>
          <w:color w:val="000000"/>
          <w:lang w:eastAsia="en-AU"/>
        </w:rPr>
        <w:t>Criteria &amp; Marking:</w:t>
      </w:r>
    </w:p>
    <w:p w14:paraId="21DF3EB1" w14:textId="0EB8CF1C" w:rsidR="00B0743B" w:rsidRDefault="00B0743B" w:rsidP="00B0743B">
      <w:pPr>
        <w:shd w:val="clear" w:color="auto" w:fill="FFFFFF"/>
        <w:spacing w:after="0" w:line="252" w:lineRule="atLeast"/>
        <w:rPr>
          <w:rFonts w:eastAsia="Times New Roman" w:cstheme="minorHAnsi"/>
          <w:b/>
          <w:bCs/>
          <w:color w:val="000000"/>
          <w:lang w:eastAsia="en-AU"/>
        </w:rPr>
      </w:pPr>
      <w:r w:rsidRPr="00B0743B">
        <w:rPr>
          <w:rFonts w:eastAsia="Times New Roman" w:cstheme="minorHAnsi"/>
          <w:b/>
          <w:bCs/>
          <w:color w:val="000000"/>
          <w:lang w:eastAsia="en-AU"/>
        </w:rPr>
        <w:t>C</w:t>
      </w:r>
      <w:r w:rsidR="00EA4F66">
        <w:rPr>
          <w:rFonts w:eastAsia="Times New Roman" w:cstheme="minorHAnsi"/>
          <w:b/>
          <w:bCs/>
          <w:color w:val="000000"/>
          <w:lang w:eastAsia="en-AU"/>
        </w:rPr>
        <w:t>ase Example Learning Report</w:t>
      </w:r>
    </w:p>
    <w:p w14:paraId="62EE2BE7" w14:textId="77777777" w:rsidR="00EA4F66" w:rsidRPr="00B0743B" w:rsidRDefault="00EA4F66" w:rsidP="00B0743B">
      <w:pPr>
        <w:shd w:val="clear" w:color="auto" w:fill="FFFFFF"/>
        <w:spacing w:after="0" w:line="252" w:lineRule="atLeast"/>
        <w:rPr>
          <w:rFonts w:eastAsia="Times New Roman" w:cstheme="minorHAnsi"/>
          <w:color w:val="000000"/>
          <w:lang w:eastAsia="en-A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407"/>
        <w:gridCol w:w="910"/>
        <w:gridCol w:w="1407"/>
        <w:gridCol w:w="1346"/>
        <w:gridCol w:w="1406"/>
      </w:tblGrid>
      <w:tr w:rsidR="00B0743B" w:rsidRPr="00B0743B" w14:paraId="13CBB86E" w14:textId="77777777" w:rsidTr="000E01C4">
        <w:trPr>
          <w:tblCellSpacing w:w="0" w:type="dxa"/>
        </w:trPr>
        <w:tc>
          <w:tcPr>
            <w:tcW w:w="9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9804B" w14:textId="76EF3932" w:rsidR="00B0743B" w:rsidRPr="00EA4F66" w:rsidRDefault="00B0743B" w:rsidP="00AD18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</w:p>
        </w:tc>
      </w:tr>
      <w:tr w:rsidR="00B0743B" w:rsidRPr="00B0743B" w14:paraId="36AAE0DD" w14:textId="77777777" w:rsidTr="000E01C4">
        <w:trPr>
          <w:tblCellSpacing w:w="0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97C7F" w14:textId="56086127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  <w:tc>
          <w:tcPr>
            <w:tcW w:w="64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DF472" w14:textId="77777777" w:rsidR="00F45411" w:rsidRDefault="00F45411" w:rsidP="00B274C1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2962442" w14:textId="54BF5704" w:rsidR="00B274C1" w:rsidRDefault="00B274C1" w:rsidP="00B274C1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2054F67A" w14:textId="77777777" w:rsidR="00F45411" w:rsidRPr="00B0743B" w:rsidRDefault="00F45411" w:rsidP="00B274C1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11F9C944" w14:textId="771A3142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B0743B" w:rsidRPr="00B0743B" w14:paraId="51DEC702" w14:textId="77777777" w:rsidTr="000E01C4">
        <w:trPr>
          <w:tblCellSpacing w:w="0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149BD" w14:textId="77777777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>Attainment: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AE20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Insufficient</w:t>
            </w:r>
          </w:p>
          <w:p w14:paraId="5882F2FE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&lt; 49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0CD5F" w14:textId="77777777" w:rsidR="00B0743B" w:rsidRPr="00B0743B" w:rsidRDefault="00B0743B" w:rsidP="00AD18B2">
            <w:pPr>
              <w:spacing w:after="0" w:line="240" w:lineRule="auto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Fair</w:t>
            </w:r>
          </w:p>
          <w:p w14:paraId="43C379D9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50-64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6467C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Competent</w:t>
            </w:r>
          </w:p>
          <w:p w14:paraId="006AD5EC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65-74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D6E2B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Advanced</w:t>
            </w:r>
          </w:p>
          <w:p w14:paraId="3B981A46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75-84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4CCAD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Exemplary</w:t>
            </w:r>
          </w:p>
          <w:p w14:paraId="659CF7E4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85-100</w:t>
            </w:r>
          </w:p>
        </w:tc>
      </w:tr>
      <w:tr w:rsidR="00B0743B" w:rsidRPr="00B0743B" w14:paraId="1FC3D26C" w14:textId="77777777" w:rsidTr="000E01C4">
        <w:trPr>
          <w:tblCellSpacing w:w="0" w:type="dxa"/>
        </w:trPr>
        <w:tc>
          <w:tcPr>
            <w:tcW w:w="9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BCD8" w14:textId="01157B51" w:rsidR="00B0743B" w:rsidRDefault="00AE05F6" w:rsidP="00AD18B2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 xml:space="preserve">Part </w:t>
            </w:r>
            <w:r w:rsidR="007E3A0D">
              <w:rPr>
                <w:rFonts w:eastAsia="Times New Roman" w:cstheme="minorHAnsi"/>
                <w:b/>
                <w:bCs/>
                <w:lang w:eastAsia="en-AU"/>
              </w:rPr>
              <w:t>1</w:t>
            </w:r>
            <w:r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B0743B" w:rsidRPr="00B0743B">
              <w:rPr>
                <w:rFonts w:eastAsia="Times New Roman" w:cstheme="minorHAnsi"/>
                <w:b/>
                <w:bCs/>
                <w:lang w:eastAsia="en-AU"/>
              </w:rPr>
              <w:t>Criterion</w:t>
            </w:r>
          </w:p>
          <w:p w14:paraId="6A85881E" w14:textId="4B07B56B" w:rsidR="00AE05F6" w:rsidRPr="00B0743B" w:rsidRDefault="00AE05F6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lang w:eastAsia="en-AU"/>
              </w:rPr>
              <w:t>Where do Ideas Come from?</w:t>
            </w:r>
          </w:p>
        </w:tc>
      </w:tr>
      <w:tr w:rsidR="00B0743B" w:rsidRPr="00B0743B" w14:paraId="336CB9C3" w14:textId="77777777" w:rsidTr="000E01C4">
        <w:trPr>
          <w:tblCellSpacing w:w="0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CB6BD" w14:textId="77777777" w:rsidR="00AE05F6" w:rsidRDefault="00AE05F6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366C45D0" w14:textId="4F5E2923" w:rsidR="00B0743B" w:rsidRPr="00B0743B" w:rsidRDefault="00AE05F6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 xml:space="preserve">The case report critically discusses concepts and theory from Required Readings and class content applied to </w:t>
            </w:r>
            <w:r w:rsidR="000E01C4">
              <w:rPr>
                <w:rFonts w:eastAsia="Times New Roman" w:cstheme="minorHAnsi"/>
                <w:lang w:eastAsia="en-AU"/>
              </w:rPr>
              <w:t xml:space="preserve">the </w:t>
            </w:r>
            <w:r>
              <w:rPr>
                <w:rFonts w:eastAsia="Times New Roman" w:cstheme="minorHAnsi"/>
                <w:lang w:eastAsia="en-AU"/>
              </w:rPr>
              <w:t>Google Glass case study.</w:t>
            </w:r>
          </w:p>
          <w:p w14:paraId="72BF0876" w14:textId="77777777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> </w:t>
            </w:r>
          </w:p>
          <w:p w14:paraId="25B49725" w14:textId="248849D0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>1</w:t>
            </w:r>
            <w:r w:rsidR="00AE05F6">
              <w:rPr>
                <w:rFonts w:eastAsia="Times New Roman" w:cstheme="minorHAnsi"/>
                <w:lang w:eastAsia="en-AU"/>
              </w:rPr>
              <w:t>5</w:t>
            </w:r>
            <w:r w:rsidRPr="00B0743B">
              <w:rPr>
                <w:rFonts w:eastAsia="Times New Roman" w:cstheme="minorHAnsi"/>
                <w:lang w:eastAsia="en-AU"/>
              </w:rPr>
              <w:t xml:space="preserve"> Marks</w:t>
            </w:r>
          </w:p>
        </w:tc>
        <w:tc>
          <w:tcPr>
            <w:tcW w:w="64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87F5" w14:textId="77777777" w:rsidR="00F45411" w:rsidRDefault="00F45411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43A9685E" w14:textId="71AC9EBA" w:rsid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>Evident that knowledge from the course is used to help to explain t</w:t>
            </w:r>
            <w:r w:rsidR="00F45411">
              <w:rPr>
                <w:rFonts w:eastAsia="Times New Roman" w:cstheme="minorHAnsi"/>
                <w:lang w:eastAsia="en-AU"/>
              </w:rPr>
              <w:t xml:space="preserve">he </w:t>
            </w:r>
            <w:r w:rsidR="00287F58">
              <w:rPr>
                <w:rFonts w:eastAsia="Times New Roman" w:cstheme="minorHAnsi"/>
                <w:lang w:eastAsia="en-AU"/>
              </w:rPr>
              <w:t xml:space="preserve">discovery vs creative approaches to entrepreneurial ideas and the role of causal vs. effectual logic </w:t>
            </w:r>
            <w:r w:rsidR="00F45411">
              <w:rPr>
                <w:rFonts w:eastAsia="Times New Roman" w:cstheme="minorHAnsi"/>
                <w:lang w:eastAsia="en-AU"/>
              </w:rPr>
              <w:t>as part of the “Entrepreneurial Method”.  In the pursuit of entrepreneurial ideas, the role of path dependencies and resourced-based view of the firm is discussed as it relates to Google Glass case.  Critical discussion of concepts and theory include references to relevant readings and</w:t>
            </w:r>
            <w:r w:rsidR="00287F58">
              <w:rPr>
                <w:rFonts w:eastAsia="Times New Roman" w:cstheme="minorHAnsi"/>
                <w:lang w:eastAsia="en-AU"/>
              </w:rPr>
              <w:t xml:space="preserve"> </w:t>
            </w:r>
            <w:r w:rsidRPr="00B0743B">
              <w:rPr>
                <w:rFonts w:eastAsia="Times New Roman" w:cstheme="minorHAnsi"/>
                <w:lang w:eastAsia="en-AU"/>
              </w:rPr>
              <w:t>course content</w:t>
            </w:r>
            <w:r w:rsidR="00F45411">
              <w:rPr>
                <w:rFonts w:eastAsia="Times New Roman" w:cstheme="minorHAnsi"/>
                <w:lang w:eastAsia="en-AU"/>
              </w:rPr>
              <w:t>.</w:t>
            </w:r>
            <w:r w:rsidRPr="00B0743B">
              <w:rPr>
                <w:rFonts w:eastAsia="Times New Roman" w:cstheme="minorHAnsi"/>
                <w:lang w:eastAsia="en-AU"/>
              </w:rPr>
              <w:t xml:space="preserve"> The </w:t>
            </w:r>
            <w:r w:rsidR="00F45411">
              <w:rPr>
                <w:rFonts w:eastAsia="Times New Roman" w:cstheme="minorHAnsi"/>
                <w:lang w:eastAsia="en-AU"/>
              </w:rPr>
              <w:t>critical discussion</w:t>
            </w:r>
            <w:r w:rsidRPr="00B0743B">
              <w:rPr>
                <w:rFonts w:eastAsia="Times New Roman" w:cstheme="minorHAnsi"/>
                <w:lang w:eastAsia="en-AU"/>
              </w:rPr>
              <w:t xml:space="preserve"> provided is complex, thorough and complete</w:t>
            </w:r>
            <w:r w:rsidR="00F45411">
              <w:rPr>
                <w:rFonts w:eastAsia="Times New Roman" w:cstheme="minorHAnsi"/>
                <w:lang w:eastAsia="en-AU"/>
              </w:rPr>
              <w:t>.</w:t>
            </w:r>
          </w:p>
          <w:p w14:paraId="065230B9" w14:textId="77777777" w:rsidR="000E01C4" w:rsidRDefault="000E01C4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7DC8F29" w14:textId="2A5CC2C9" w:rsidR="00F45411" w:rsidRPr="00B0743B" w:rsidRDefault="00F45411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</w:tc>
      </w:tr>
      <w:tr w:rsidR="00B0743B" w:rsidRPr="00B0743B" w14:paraId="6B4BCB10" w14:textId="77777777" w:rsidTr="000E01C4">
        <w:trPr>
          <w:tblCellSpacing w:w="0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F4B93" w14:textId="77777777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>Attainment: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32928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Insufficient</w:t>
            </w:r>
          </w:p>
          <w:p w14:paraId="626ECCF4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&lt; 49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A11EE" w14:textId="77777777" w:rsidR="00F45411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 xml:space="preserve">Fair </w:t>
            </w:r>
          </w:p>
          <w:p w14:paraId="4FB99C48" w14:textId="76805DC4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50-64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D68B9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Competent</w:t>
            </w:r>
          </w:p>
          <w:p w14:paraId="7D9750A1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65-74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1F02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Advanced</w:t>
            </w:r>
          </w:p>
          <w:p w14:paraId="799B6691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75-84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AB685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Exemplary</w:t>
            </w:r>
          </w:p>
          <w:p w14:paraId="6AF8F13E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85-100</w:t>
            </w:r>
          </w:p>
        </w:tc>
      </w:tr>
      <w:tr w:rsidR="00B0743B" w:rsidRPr="00B0743B" w14:paraId="15FC207D" w14:textId="77777777" w:rsidTr="000E01C4">
        <w:trPr>
          <w:tblCellSpacing w:w="0" w:type="dxa"/>
        </w:trPr>
        <w:tc>
          <w:tcPr>
            <w:tcW w:w="90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E89D8" w14:textId="1AAC02DD" w:rsidR="000E01C4" w:rsidRDefault="00B0743B" w:rsidP="00F45411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> </w:t>
            </w:r>
            <w:r w:rsidRPr="00B0743B">
              <w:rPr>
                <w:rFonts w:eastAsia="Times New Roman" w:cstheme="minorHAnsi"/>
                <w:b/>
                <w:bCs/>
                <w:lang w:eastAsia="en-AU"/>
              </w:rPr>
              <w:t xml:space="preserve">Part </w:t>
            </w:r>
            <w:r w:rsidR="007E3A0D">
              <w:rPr>
                <w:rFonts w:eastAsia="Times New Roman" w:cstheme="minorHAnsi"/>
                <w:b/>
                <w:bCs/>
                <w:lang w:eastAsia="en-AU"/>
              </w:rPr>
              <w:t>2</w:t>
            </w:r>
            <w:r w:rsidR="00F45411" w:rsidRPr="000E01C4">
              <w:rPr>
                <w:rFonts w:eastAsia="Times New Roman" w:cstheme="minorHAnsi"/>
                <w:b/>
                <w:bCs/>
                <w:lang w:eastAsia="en-AU"/>
              </w:rPr>
              <w:t xml:space="preserve"> </w:t>
            </w:r>
            <w:r w:rsidR="000E01C4" w:rsidRPr="000E01C4">
              <w:rPr>
                <w:rFonts w:eastAsia="Times New Roman" w:cstheme="minorHAnsi"/>
                <w:b/>
                <w:bCs/>
                <w:lang w:eastAsia="en-AU"/>
              </w:rPr>
              <w:t>Criterion</w:t>
            </w:r>
          </w:p>
          <w:p w14:paraId="64AE839E" w14:textId="2C1661A4" w:rsidR="00B0743B" w:rsidRPr="00B0743B" w:rsidRDefault="00F45411" w:rsidP="00F45411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F45411">
              <w:rPr>
                <w:rFonts w:eastAsia="Times New Roman" w:cstheme="minorHAnsi"/>
                <w:b/>
                <w:bCs/>
                <w:lang w:eastAsia="en-AU"/>
              </w:rPr>
              <w:t>What is an Entrepreneur?</w:t>
            </w:r>
          </w:p>
        </w:tc>
      </w:tr>
      <w:tr w:rsidR="00B0743B" w:rsidRPr="00B0743B" w14:paraId="646A96AB" w14:textId="77777777" w:rsidTr="000E01C4">
        <w:trPr>
          <w:tblCellSpacing w:w="0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93D1" w14:textId="77777777" w:rsidR="000E01C4" w:rsidRDefault="000E01C4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047717F5" w14:textId="155B16DE" w:rsidR="00B0743B" w:rsidRDefault="002A35BE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>
              <w:rPr>
                <w:rFonts w:eastAsia="Times New Roman" w:cstheme="minorHAnsi"/>
                <w:lang w:eastAsia="en-AU"/>
              </w:rPr>
              <w:t>The case r</w:t>
            </w:r>
            <w:r w:rsidR="000E01C4">
              <w:rPr>
                <w:rFonts w:eastAsia="Times New Roman" w:cstheme="minorHAnsi"/>
                <w:lang w:eastAsia="en-AU"/>
              </w:rPr>
              <w:t xml:space="preserve">eport examines </w:t>
            </w:r>
            <w:r w:rsidR="005C5AA9">
              <w:rPr>
                <w:rFonts w:eastAsia="Times New Roman" w:cstheme="minorHAnsi"/>
                <w:lang w:eastAsia="en-AU"/>
              </w:rPr>
              <w:t xml:space="preserve">differing </w:t>
            </w:r>
            <w:r w:rsidR="000E01C4">
              <w:rPr>
                <w:rFonts w:eastAsia="Times New Roman" w:cstheme="minorHAnsi"/>
                <w:lang w:eastAsia="en-AU"/>
              </w:rPr>
              <w:t>hi</w:t>
            </w:r>
            <w:r w:rsidR="005C5AA9">
              <w:rPr>
                <w:rFonts w:eastAsia="Times New Roman" w:cstheme="minorHAnsi"/>
                <w:lang w:eastAsia="en-AU"/>
              </w:rPr>
              <w:t>storical</w:t>
            </w:r>
            <w:r w:rsidR="000E01C4">
              <w:rPr>
                <w:rFonts w:eastAsia="Times New Roman" w:cstheme="minorHAnsi"/>
                <w:lang w:eastAsia="en-AU"/>
              </w:rPr>
              <w:t xml:space="preserve"> approaches to defining entrepreneurs vs. non-entrepreneurs, integrates discussion of Google Glass with empirical examples.</w:t>
            </w:r>
          </w:p>
          <w:p w14:paraId="210956A1" w14:textId="77777777" w:rsidR="00654A91" w:rsidRPr="00B0743B" w:rsidRDefault="00654A91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7DEBC7C" w14:textId="77777777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>10 Marks</w:t>
            </w:r>
          </w:p>
        </w:tc>
        <w:tc>
          <w:tcPr>
            <w:tcW w:w="64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9698A" w14:textId="77777777" w:rsidR="00654A91" w:rsidRDefault="00654A91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</w:p>
          <w:p w14:paraId="66F1E0DF" w14:textId="058E4257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 xml:space="preserve">Content from course </w:t>
            </w:r>
            <w:r w:rsidR="005C5AA9">
              <w:rPr>
                <w:rFonts w:eastAsia="Times New Roman" w:cstheme="minorHAnsi"/>
                <w:lang w:eastAsia="en-AU"/>
              </w:rPr>
              <w:t xml:space="preserve">readings and class is critically discussed in defining what makes entrepreneurs successful and why.  to </w:t>
            </w:r>
            <w:r w:rsidRPr="00B0743B">
              <w:rPr>
                <w:rFonts w:eastAsia="Times New Roman" w:cstheme="minorHAnsi"/>
                <w:lang w:eastAsia="en-AU"/>
              </w:rPr>
              <w:t>is used to support, explain and justify answers</w:t>
            </w:r>
            <w:r w:rsidR="005C5AA9">
              <w:rPr>
                <w:rFonts w:eastAsia="Times New Roman" w:cstheme="minorHAnsi"/>
                <w:lang w:eastAsia="en-AU"/>
              </w:rPr>
              <w:t>. Differing theory and perspectives are</w:t>
            </w:r>
            <w:r w:rsidRPr="00B0743B">
              <w:rPr>
                <w:rFonts w:eastAsia="Times New Roman" w:cstheme="minorHAnsi"/>
                <w:lang w:eastAsia="en-AU"/>
              </w:rPr>
              <w:t xml:space="preserve"> used appropriately and explained clearly.</w:t>
            </w:r>
            <w:r w:rsidR="005C5AA9">
              <w:rPr>
                <w:rFonts w:eastAsia="Times New Roman" w:cstheme="minorHAnsi"/>
                <w:lang w:eastAsia="en-AU"/>
              </w:rPr>
              <w:t xml:space="preserve">  Common “myths” and changes in student perspective after reflecting on readings and class content show deep insight into what makes entrepreneurs successful.</w:t>
            </w:r>
          </w:p>
          <w:p w14:paraId="684CC691" w14:textId="77777777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B0743B" w:rsidRPr="00B0743B" w14:paraId="2F00EEC6" w14:textId="77777777" w:rsidTr="000E01C4">
        <w:trPr>
          <w:tblCellSpacing w:w="0" w:type="dxa"/>
        </w:trPr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310D6" w14:textId="77777777" w:rsidR="00B0743B" w:rsidRPr="00B0743B" w:rsidRDefault="00B0743B" w:rsidP="00AD18B2">
            <w:pPr>
              <w:spacing w:after="0" w:line="240" w:lineRule="auto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lang w:eastAsia="en-AU"/>
              </w:rPr>
              <w:t>Attainment: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9BF1B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Insufficient</w:t>
            </w:r>
          </w:p>
          <w:p w14:paraId="3C352EB9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&lt; 49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07AD" w14:textId="77777777" w:rsidR="000E01C4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bCs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 xml:space="preserve">Fair </w:t>
            </w:r>
          </w:p>
          <w:p w14:paraId="5F4E46B9" w14:textId="0AB23C32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50-64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C070A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Competent</w:t>
            </w:r>
          </w:p>
          <w:p w14:paraId="57A6F0AF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65-74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C528D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Advanced</w:t>
            </w:r>
          </w:p>
          <w:p w14:paraId="68A7B10E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75-84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04B05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Exemplary</w:t>
            </w:r>
          </w:p>
          <w:p w14:paraId="318AA5A1" w14:textId="77777777" w:rsidR="00B0743B" w:rsidRPr="00B0743B" w:rsidRDefault="00B0743B" w:rsidP="00AD18B2">
            <w:pPr>
              <w:spacing w:after="0" w:line="240" w:lineRule="auto"/>
              <w:ind w:left="113"/>
              <w:jc w:val="center"/>
              <w:rPr>
                <w:rFonts w:eastAsia="Times New Roman" w:cstheme="minorHAnsi"/>
                <w:lang w:eastAsia="en-AU"/>
              </w:rPr>
            </w:pPr>
            <w:r w:rsidRPr="00B0743B">
              <w:rPr>
                <w:rFonts w:eastAsia="Times New Roman" w:cstheme="minorHAnsi"/>
                <w:b/>
                <w:bCs/>
                <w:lang w:eastAsia="en-AU"/>
              </w:rPr>
              <w:t>85-100</w:t>
            </w:r>
          </w:p>
        </w:tc>
      </w:tr>
    </w:tbl>
    <w:p w14:paraId="62FEC849" w14:textId="77777777" w:rsidR="00F923C9" w:rsidRPr="00B0743B" w:rsidRDefault="00F923C9" w:rsidP="00F923C9">
      <w:pPr>
        <w:spacing w:after="0" w:line="240" w:lineRule="auto"/>
        <w:rPr>
          <w:rFonts w:cstheme="minorHAnsi"/>
        </w:rPr>
      </w:pPr>
    </w:p>
    <w:p w14:paraId="1FED3B61" w14:textId="77777777" w:rsidR="00F923C9" w:rsidRPr="00B0743B" w:rsidRDefault="00F923C9">
      <w:pPr>
        <w:rPr>
          <w:rFonts w:cstheme="minorHAnsi"/>
        </w:rPr>
      </w:pPr>
    </w:p>
    <w:p w14:paraId="1DDFA2B6" w14:textId="77777777" w:rsidR="002B2784" w:rsidRPr="00B0743B" w:rsidRDefault="002B2784">
      <w:pPr>
        <w:rPr>
          <w:rFonts w:cstheme="minorHAnsi"/>
        </w:rPr>
      </w:pPr>
    </w:p>
    <w:p w14:paraId="2534717E" w14:textId="67F2AF22" w:rsidR="00D4110C" w:rsidRPr="00B0743B" w:rsidRDefault="00D4110C">
      <w:pPr>
        <w:rPr>
          <w:rFonts w:cstheme="minorHAnsi"/>
        </w:rPr>
      </w:pPr>
    </w:p>
    <w:p w14:paraId="6435ACAD" w14:textId="77777777" w:rsidR="00D4110C" w:rsidRPr="00B0743B" w:rsidRDefault="00D4110C">
      <w:pPr>
        <w:rPr>
          <w:rFonts w:cstheme="minorHAnsi"/>
        </w:rPr>
      </w:pPr>
    </w:p>
    <w:p w14:paraId="172CF321" w14:textId="77777777" w:rsidR="00247272" w:rsidRPr="00B0743B" w:rsidRDefault="00247272">
      <w:pPr>
        <w:rPr>
          <w:rFonts w:cstheme="minorHAnsi"/>
        </w:rPr>
      </w:pPr>
    </w:p>
    <w:p w14:paraId="3277BD3A" w14:textId="1AEBF062" w:rsidR="00247272" w:rsidRPr="00B0743B" w:rsidRDefault="00247272">
      <w:pPr>
        <w:rPr>
          <w:rFonts w:cstheme="minorHAnsi"/>
        </w:rPr>
      </w:pPr>
    </w:p>
    <w:p w14:paraId="6871A91B" w14:textId="6B7151EA" w:rsidR="00247272" w:rsidRPr="00B0743B" w:rsidRDefault="00247272" w:rsidP="00247272">
      <w:pPr>
        <w:rPr>
          <w:rFonts w:cstheme="minorHAnsi"/>
        </w:rPr>
      </w:pPr>
    </w:p>
    <w:p w14:paraId="7560676E" w14:textId="0074A476" w:rsidR="00247272" w:rsidRPr="00B0743B" w:rsidRDefault="00247272" w:rsidP="00247272">
      <w:pPr>
        <w:tabs>
          <w:tab w:val="left" w:pos="1730"/>
        </w:tabs>
        <w:rPr>
          <w:rFonts w:cstheme="minorHAnsi"/>
        </w:rPr>
      </w:pPr>
      <w:r w:rsidRPr="00B0743B">
        <w:rPr>
          <w:rFonts w:cstheme="minorHAnsi"/>
        </w:rPr>
        <w:tab/>
      </w:r>
    </w:p>
    <w:p w14:paraId="15D5EEC7" w14:textId="77777777" w:rsidR="00247272" w:rsidRPr="00B0743B" w:rsidRDefault="00247272" w:rsidP="00247272">
      <w:pPr>
        <w:tabs>
          <w:tab w:val="left" w:pos="1730"/>
        </w:tabs>
        <w:rPr>
          <w:rFonts w:cstheme="minorHAnsi"/>
        </w:rPr>
      </w:pPr>
    </w:p>
    <w:sectPr w:rsidR="00247272" w:rsidRPr="00B07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4491A"/>
    <w:multiLevelType w:val="hybridMultilevel"/>
    <w:tmpl w:val="A3662A4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72"/>
    <w:rsid w:val="00072E5F"/>
    <w:rsid w:val="000E01C4"/>
    <w:rsid w:val="00155AC5"/>
    <w:rsid w:val="00247272"/>
    <w:rsid w:val="00287F58"/>
    <w:rsid w:val="002A35BE"/>
    <w:rsid w:val="002B2784"/>
    <w:rsid w:val="002F0E81"/>
    <w:rsid w:val="003923F7"/>
    <w:rsid w:val="004158BC"/>
    <w:rsid w:val="00437F4C"/>
    <w:rsid w:val="005C5AA9"/>
    <w:rsid w:val="00654A91"/>
    <w:rsid w:val="007E3A0D"/>
    <w:rsid w:val="00830E36"/>
    <w:rsid w:val="009B65FB"/>
    <w:rsid w:val="00A4223D"/>
    <w:rsid w:val="00AE05F6"/>
    <w:rsid w:val="00B0743B"/>
    <w:rsid w:val="00B274C1"/>
    <w:rsid w:val="00B42F7C"/>
    <w:rsid w:val="00CE35E3"/>
    <w:rsid w:val="00D4110C"/>
    <w:rsid w:val="00E82628"/>
    <w:rsid w:val="00EA4F66"/>
    <w:rsid w:val="00F45411"/>
    <w:rsid w:val="00F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96D8"/>
  <w15:chartTrackingRefBased/>
  <w15:docId w15:val="{0D53DF31-B2FB-402A-A90C-B203A985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2020-04-03T07:45:00Z</dcterms:created>
  <dcterms:modified xsi:type="dcterms:W3CDTF">2020-04-03T07:45:00Z</dcterms:modified>
</cp:coreProperties>
</file>