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77D6" w14:textId="6232599F" w:rsidR="001D0BE4" w:rsidRDefault="001D0BE4">
      <w:r>
        <w:rPr>
          <w:rFonts w:ascii="Verdana" w:hAnsi="Verdana"/>
          <w:color w:val="000000"/>
          <w:sz w:val="17"/>
          <w:szCs w:val="17"/>
          <w:shd w:val="clear" w:color="auto" w:fill="FFFFFF"/>
        </w:rPr>
        <w:t xml:space="preserve">Description In order to obtain a marine license, offshore wind farms developers need to conduct a </w:t>
      </w:r>
      <w:proofErr w:type="gramStart"/>
      <w:r>
        <w:rPr>
          <w:rFonts w:ascii="Verdana" w:hAnsi="Verdana"/>
          <w:color w:val="000000"/>
          <w:sz w:val="17"/>
          <w:szCs w:val="17"/>
          <w:shd w:val="clear" w:color="auto" w:fill="FFFFFF"/>
        </w:rPr>
        <w:t>NRA .</w:t>
      </w:r>
      <w:proofErr w:type="gramEnd"/>
      <w:r>
        <w:rPr>
          <w:rFonts w:ascii="Verdana" w:hAnsi="Verdana"/>
          <w:color w:val="000000"/>
          <w:sz w:val="17"/>
          <w:szCs w:val="17"/>
          <w:shd w:val="clear" w:color="auto" w:fill="FFFFFF"/>
        </w:rPr>
        <w:t xml:space="preserve"> The impact of offshore wind farms on navigation safety in </w:t>
      </w:r>
      <w:proofErr w:type="spellStart"/>
      <w:r>
        <w:rPr>
          <w:rFonts w:ascii="Verdana" w:hAnsi="Verdana"/>
          <w:color w:val="000000"/>
          <w:sz w:val="17"/>
          <w:szCs w:val="17"/>
          <w:shd w:val="clear" w:color="auto" w:fill="FFFFFF"/>
        </w:rPr>
        <w:t>england</w:t>
      </w:r>
      <w:proofErr w:type="spellEnd"/>
      <w:r>
        <w:rPr>
          <w:rFonts w:ascii="Verdana" w:hAnsi="Verdana"/>
          <w:color w:val="000000"/>
          <w:sz w:val="17"/>
          <w:szCs w:val="17"/>
          <w:shd w:val="clear" w:color="auto" w:fill="FFFFFF"/>
        </w:rPr>
        <w:t xml:space="preserve"> and wales and evaluate international and national primary sources, so for example UNCLOS, The Energy Acts 2004 and 2006 and The Marine and Coastal Access Act 2009. Looking at marine spatial planning in the UK will probably also be helpful. It will also be necessary to distinguish between the different zones (i.e. territorial sea, EEZ etc.). </w:t>
      </w:r>
    </w:p>
    <w:sectPr w:rsidR="001D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E4"/>
    <w:rsid w:val="001D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D2A4"/>
  <w15:chartTrackingRefBased/>
  <w15:docId w15:val="{443534FF-D1B5-4EB7-A5B1-884D30AA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2020-04-17T02:38:00Z</dcterms:created>
  <dcterms:modified xsi:type="dcterms:W3CDTF">2020-04-17T02:38:00Z</dcterms:modified>
</cp:coreProperties>
</file>