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F284" w14:textId="51C05FCA" w:rsidR="00FC0BDA" w:rsidRDefault="00FC0BDA">
      <w:r>
        <w:rPr>
          <w:rFonts w:ascii="Verdana" w:hAnsi="Verdana"/>
          <w:color w:val="000000"/>
          <w:sz w:val="17"/>
          <w:szCs w:val="17"/>
          <w:shd w:val="clear" w:color="auto" w:fill="FFFFFF"/>
        </w:rPr>
        <w:t>Description Given the complex relationship between natural disasters and economic growth, researchers need to examine the potential effects of natural disasters in three distinctive phases: short-run (for example, emphasizing political transitions through economic growth), medium- to long-run (for example, focusing directly on natural disasters and economic growth), and very long-run (for example, highlighting deeper indicators of growth). On the basis of the literature review conducted, this article discusses the data and measurement issues as well as the estimation framework regarding natural disasters and economic growth within the same framework. NATURAL DISASTER PROMOTE POSITIVE RENEWAL THEREFORE ENHANCING ECONOMY </w:t>
      </w:r>
    </w:p>
    <w:sectPr w:rsidR="00FC0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DA"/>
    <w:rsid w:val="00FC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70C7"/>
  <w15:chartTrackingRefBased/>
  <w15:docId w15:val="{95F3EE79-583B-43B4-A1C7-9D5162B8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2020-04-21T02:32:00Z</dcterms:created>
  <dcterms:modified xsi:type="dcterms:W3CDTF">2020-04-21T02:33:00Z</dcterms:modified>
</cp:coreProperties>
</file>