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F6FE3" w14:textId="09C358CA" w:rsidR="00B32C62" w:rsidRDefault="00B32C62">
      <w:r>
        <w:rPr>
          <w:rFonts w:ascii="Verdana" w:hAnsi="Verdana"/>
          <w:color w:val="000000"/>
          <w:sz w:val="17"/>
          <w:szCs w:val="17"/>
          <w:shd w:val="clear" w:color="auto" w:fill="FFFFFF"/>
        </w:rPr>
        <w:t xml:space="preserve">Description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July 2019 a new HCCH Convention on the Recognition and Enforcement of Foreign Judgments in Civil or Commercial Matters was adopted. You need to critically analyze the scope of application, the exclusion from the scope, jurisdictional filters which are “indirect grounds of </w:t>
      </w:r>
      <w:proofErr w:type="gramStart"/>
      <w:r>
        <w:rPr>
          <w:rFonts w:ascii="Verdana" w:hAnsi="Verdana"/>
          <w:color w:val="000000"/>
          <w:sz w:val="17"/>
          <w:szCs w:val="17"/>
          <w:shd w:val="clear" w:color="auto" w:fill="FFFFFF"/>
        </w:rPr>
        <w:t>jurisdiction”(</w:t>
      </w:r>
      <w:proofErr w:type="gramEnd"/>
      <w:r>
        <w:rPr>
          <w:rFonts w:ascii="Verdana" w:hAnsi="Verdana"/>
          <w:color w:val="000000"/>
          <w:sz w:val="17"/>
          <w:szCs w:val="17"/>
          <w:shd w:val="clear" w:color="auto" w:fill="FFFFFF"/>
        </w:rPr>
        <w:t xml:space="preserve"> criteria for determining whether a judgment is entitled to recognition and enforcement) and grounds for refusal. All of these need to be comprehensively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xml:space="preserve">. Facilitating the free movement of judgments at a global level has for long been on the agenda of The Hague Conference on Private International Law (HCCH). The HCCH has been working on this topic from the 1990s. The aim of this seminar is to examine the new 2019 HCCH Convention and to reflect upon the advantages that wide ratification of this Convention could bring to international commerce. Further Readings: • M B </w:t>
      </w:r>
      <w:proofErr w:type="spellStart"/>
      <w:r>
        <w:rPr>
          <w:rFonts w:ascii="Verdana" w:hAnsi="Verdana"/>
          <w:color w:val="000000"/>
          <w:sz w:val="17"/>
          <w:szCs w:val="17"/>
          <w:shd w:val="clear" w:color="auto" w:fill="FFFFFF"/>
        </w:rPr>
        <w:t>Noodt</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Taquela</w:t>
      </w:r>
      <w:proofErr w:type="spellEnd"/>
      <w:r>
        <w:rPr>
          <w:rFonts w:ascii="Verdana" w:hAnsi="Verdana"/>
          <w:color w:val="000000"/>
          <w:sz w:val="17"/>
          <w:szCs w:val="17"/>
          <w:shd w:val="clear" w:color="auto" w:fill="FFFFFF"/>
        </w:rPr>
        <w:t xml:space="preserve"> and V Ruiz </w:t>
      </w:r>
      <w:proofErr w:type="spellStart"/>
      <w:r>
        <w:rPr>
          <w:rFonts w:ascii="Verdana" w:hAnsi="Verdana"/>
          <w:color w:val="000000"/>
          <w:sz w:val="17"/>
          <w:szCs w:val="17"/>
          <w:shd w:val="clear" w:color="auto" w:fill="FFFFFF"/>
        </w:rPr>
        <w:t>Abou-Nigm</w:t>
      </w:r>
      <w:proofErr w:type="spellEnd"/>
      <w:r>
        <w:rPr>
          <w:rFonts w:ascii="Verdana" w:hAnsi="Verdana"/>
          <w:color w:val="000000"/>
          <w:sz w:val="17"/>
          <w:szCs w:val="17"/>
          <w:shd w:val="clear" w:color="auto" w:fill="FFFFFF"/>
        </w:rPr>
        <w:t xml:space="preserve">, “The Draft Judgments Convention and Its Relationship with other International Instruments”, Yearbook of Private International Law, Volume 19 (2017-2018) pp. 449-474. • A. Bonomi and C.M. </w:t>
      </w:r>
      <w:proofErr w:type="spellStart"/>
      <w:r>
        <w:rPr>
          <w:rFonts w:ascii="Verdana" w:hAnsi="Verdana"/>
          <w:color w:val="000000"/>
          <w:sz w:val="17"/>
          <w:szCs w:val="17"/>
          <w:shd w:val="clear" w:color="auto" w:fill="FFFFFF"/>
        </w:rPr>
        <w:t>Mariotini</w:t>
      </w:r>
      <w:proofErr w:type="spellEnd"/>
      <w:r>
        <w:rPr>
          <w:rFonts w:ascii="Verdana" w:hAnsi="Verdana"/>
          <w:color w:val="000000"/>
          <w:sz w:val="17"/>
          <w:szCs w:val="17"/>
          <w:shd w:val="clear" w:color="auto" w:fill="FFFFFF"/>
        </w:rPr>
        <w:t xml:space="preserve">, ‘A game changer in international litigation? Roadmap to the 2019 Hague Judgments Convention’ Yearbook of Private International Law 2018 /2019, p. 537-567. • F. B. </w:t>
      </w:r>
      <w:proofErr w:type="spellStart"/>
      <w:r>
        <w:rPr>
          <w:rFonts w:ascii="Verdana" w:hAnsi="Verdana"/>
          <w:color w:val="000000"/>
          <w:sz w:val="17"/>
          <w:szCs w:val="17"/>
          <w:shd w:val="clear" w:color="auto" w:fill="FFFFFF"/>
        </w:rPr>
        <w:t>Pasquot</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Polido</w:t>
      </w:r>
      <w:proofErr w:type="spellEnd"/>
      <w:r>
        <w:rPr>
          <w:rFonts w:ascii="Verdana" w:hAnsi="Verdana"/>
          <w:color w:val="000000"/>
          <w:sz w:val="17"/>
          <w:szCs w:val="17"/>
          <w:shd w:val="clear" w:color="auto" w:fill="FFFFFF"/>
        </w:rPr>
        <w:t xml:space="preserve">, ‘The Judgments Project of the Hague Conference on Private International Law: a way forward for a long-awaited solution’ in V. Ruiz </w:t>
      </w:r>
      <w:proofErr w:type="spellStart"/>
      <w:r>
        <w:rPr>
          <w:rFonts w:ascii="Verdana" w:hAnsi="Verdana"/>
          <w:color w:val="000000"/>
          <w:sz w:val="17"/>
          <w:szCs w:val="17"/>
          <w:shd w:val="clear" w:color="auto" w:fill="FFFFFF"/>
        </w:rPr>
        <w:t>Abou-Nigm</w:t>
      </w:r>
      <w:proofErr w:type="spellEnd"/>
      <w:r>
        <w:rPr>
          <w:rFonts w:ascii="Verdana" w:hAnsi="Verdana"/>
          <w:color w:val="000000"/>
          <w:sz w:val="17"/>
          <w:szCs w:val="17"/>
          <w:shd w:val="clear" w:color="auto" w:fill="FFFFFF"/>
        </w:rPr>
        <w:t xml:space="preserve"> and M.B. </w:t>
      </w:r>
      <w:proofErr w:type="spellStart"/>
      <w:r>
        <w:rPr>
          <w:rFonts w:ascii="Verdana" w:hAnsi="Verdana"/>
          <w:color w:val="000000"/>
          <w:sz w:val="17"/>
          <w:szCs w:val="17"/>
          <w:shd w:val="clear" w:color="auto" w:fill="FFFFFF"/>
        </w:rPr>
        <w:t>Noodt</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Taquela</w:t>
      </w:r>
      <w:proofErr w:type="spellEnd"/>
      <w:r>
        <w:rPr>
          <w:rFonts w:ascii="Verdana" w:hAnsi="Verdana"/>
          <w:color w:val="000000"/>
          <w:sz w:val="17"/>
          <w:szCs w:val="17"/>
          <w:shd w:val="clear" w:color="auto" w:fill="FFFFFF"/>
        </w:rPr>
        <w:t xml:space="preserve"> (eds.) Diversity and Integration in Private International Law (EUP) 2019. Critically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merits and challenges of the new Convention, focusing on the following aspects: scope of application, jurisdictional filters, and grounds for refusal. In your analysis please assess what would be the benefits of achieving, via extensive adoption of this Convention, systematic recognition and enforcement of foreign judgments at a global scale.</w:t>
      </w:r>
    </w:p>
    <w:sectPr w:rsidR="00B32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62"/>
    <w:rsid w:val="00B3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2DD7"/>
  <w15:chartTrackingRefBased/>
  <w15:docId w15:val="{BD1F9CD4-143A-446E-8C10-085CA6DA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2020-04-14T03:26:00Z</dcterms:created>
  <dcterms:modified xsi:type="dcterms:W3CDTF">2020-04-14T03:27:00Z</dcterms:modified>
</cp:coreProperties>
</file>