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85" w:rsidRDefault="00C46F85" w:rsidP="00C46F85">
      <w:pPr>
        <w:autoSpaceDE w:val="0"/>
        <w:autoSpaceDN w:val="0"/>
        <w:adjustRightInd w:val="0"/>
        <w:spacing w:after="240" w:line="240" w:lineRule="auto"/>
        <w:jc w:val="center"/>
        <w:rPr>
          <w:rFonts w:ascii="Arial" w:hAnsi="Arial" w:cs="Arial"/>
          <w:b/>
          <w:bCs/>
          <w:sz w:val="44"/>
          <w:szCs w:val="44"/>
          <w:u w:val="single"/>
          <w:lang w:val="en"/>
        </w:rPr>
      </w:pPr>
    </w:p>
    <w:p w:rsidR="00C46F85" w:rsidRDefault="00C46F85" w:rsidP="00C46F85">
      <w:pPr>
        <w:autoSpaceDE w:val="0"/>
        <w:autoSpaceDN w:val="0"/>
        <w:adjustRightInd w:val="0"/>
        <w:spacing w:after="240" w:line="240" w:lineRule="auto"/>
        <w:jc w:val="center"/>
        <w:rPr>
          <w:rFonts w:ascii="Arial" w:hAnsi="Arial" w:cs="Arial"/>
          <w:b/>
          <w:bCs/>
          <w:sz w:val="40"/>
          <w:szCs w:val="40"/>
          <w:lang w:val="en"/>
        </w:rPr>
      </w:pPr>
      <w:r>
        <w:rPr>
          <w:rFonts w:ascii="Arial" w:hAnsi="Arial" w:cs="Arial"/>
          <w:b/>
          <w:bCs/>
          <w:sz w:val="40"/>
          <w:szCs w:val="40"/>
          <w:lang w:val="en"/>
        </w:rPr>
        <w:t>Practical Cell Biology and Biochemistry</w:t>
      </w:r>
    </w:p>
    <w:p w:rsidR="00C46F85" w:rsidRDefault="00C46F85" w:rsidP="00C46F85">
      <w:pPr>
        <w:autoSpaceDE w:val="0"/>
        <w:autoSpaceDN w:val="0"/>
        <w:adjustRightInd w:val="0"/>
        <w:spacing w:after="240" w:line="240" w:lineRule="auto"/>
        <w:jc w:val="center"/>
        <w:rPr>
          <w:rFonts w:ascii="Arial" w:hAnsi="Arial" w:cs="Arial"/>
          <w:sz w:val="24"/>
          <w:szCs w:val="24"/>
          <w:lang w:val="en"/>
        </w:rPr>
      </w:pPr>
      <w:r>
        <w:rPr>
          <w:rFonts w:ascii="Arial" w:hAnsi="Arial" w:cs="Arial"/>
          <w:sz w:val="24"/>
          <w:szCs w:val="24"/>
          <w:lang w:val="en"/>
        </w:rPr>
        <w:t>USSKNG-30-1</w:t>
      </w:r>
    </w:p>
    <w:p w:rsidR="00C46F85" w:rsidRDefault="00C46F85" w:rsidP="00C46F85">
      <w:pPr>
        <w:autoSpaceDE w:val="0"/>
        <w:autoSpaceDN w:val="0"/>
        <w:adjustRightInd w:val="0"/>
        <w:spacing w:after="240" w:line="240" w:lineRule="auto"/>
        <w:jc w:val="center"/>
        <w:rPr>
          <w:rFonts w:ascii="Arial" w:hAnsi="Arial" w:cs="Arial"/>
          <w:b/>
          <w:bCs/>
          <w:sz w:val="24"/>
          <w:szCs w:val="24"/>
          <w:u w:val="single"/>
          <w:lang w:val="en"/>
        </w:rPr>
      </w:pPr>
    </w:p>
    <w:p w:rsidR="00C46F85" w:rsidRDefault="00C46F85" w:rsidP="00C46F85">
      <w:pPr>
        <w:autoSpaceDE w:val="0"/>
        <w:autoSpaceDN w:val="0"/>
        <w:adjustRightInd w:val="0"/>
        <w:spacing w:after="240" w:line="240" w:lineRule="auto"/>
        <w:jc w:val="center"/>
        <w:rPr>
          <w:rFonts w:ascii="Arial" w:hAnsi="Arial" w:cs="Arial"/>
          <w:b/>
          <w:bCs/>
          <w:sz w:val="32"/>
          <w:szCs w:val="32"/>
          <w:u w:val="single"/>
          <w:lang w:val="en"/>
        </w:rPr>
      </w:pPr>
      <w:r>
        <w:rPr>
          <w:rFonts w:ascii="Arial" w:hAnsi="Arial" w:cs="Arial"/>
          <w:b/>
          <w:bCs/>
          <w:sz w:val="32"/>
          <w:szCs w:val="32"/>
          <w:u w:val="single"/>
          <w:lang w:val="en"/>
        </w:rPr>
        <w:t>RESIT – COVID-19</w:t>
      </w:r>
    </w:p>
    <w:p w:rsidR="00C46F85" w:rsidRDefault="00C46F85" w:rsidP="00C46F85">
      <w:pPr>
        <w:autoSpaceDE w:val="0"/>
        <w:autoSpaceDN w:val="0"/>
        <w:adjustRightInd w:val="0"/>
        <w:spacing w:after="240" w:line="240" w:lineRule="auto"/>
        <w:jc w:val="center"/>
        <w:rPr>
          <w:rFonts w:ascii="Arial" w:hAnsi="Arial" w:cs="Arial"/>
          <w:b/>
          <w:bCs/>
          <w:sz w:val="24"/>
          <w:szCs w:val="24"/>
          <w:lang w:val="en"/>
        </w:rPr>
      </w:pPr>
    </w:p>
    <w:p w:rsidR="00C46F85" w:rsidRDefault="00C46F85" w:rsidP="00C46F85">
      <w:pPr>
        <w:autoSpaceDE w:val="0"/>
        <w:autoSpaceDN w:val="0"/>
        <w:adjustRightInd w:val="0"/>
        <w:spacing w:before="240" w:after="240" w:line="240" w:lineRule="auto"/>
        <w:rPr>
          <w:rFonts w:ascii="Arial" w:hAnsi="Arial" w:cs="Arial"/>
          <w:b/>
          <w:bCs/>
          <w:sz w:val="24"/>
          <w:szCs w:val="24"/>
          <w:lang w:val="en"/>
        </w:rPr>
      </w:pPr>
      <w:r>
        <w:rPr>
          <w:rFonts w:ascii="Arial" w:hAnsi="Arial" w:cs="Arial"/>
          <w:b/>
          <w:bCs/>
          <w:sz w:val="24"/>
          <w:szCs w:val="24"/>
          <w:lang w:val="en"/>
        </w:rPr>
        <w:t>Learning Outcomes:</w:t>
      </w:r>
    </w:p>
    <w:p w:rsidR="00C46F85" w:rsidRDefault="00C46F85" w:rsidP="00C46F85">
      <w:pPr>
        <w:autoSpaceDE w:val="0"/>
        <w:autoSpaceDN w:val="0"/>
        <w:adjustRightInd w:val="0"/>
        <w:spacing w:after="0" w:line="240" w:lineRule="auto"/>
        <w:rPr>
          <w:rFonts w:ascii="Arial" w:hAnsi="Arial" w:cs="Arial"/>
          <w:sz w:val="24"/>
          <w:szCs w:val="24"/>
          <w:lang w:val="en"/>
        </w:rPr>
      </w:pPr>
    </w:p>
    <w:p w:rsidR="00C46F85" w:rsidRDefault="00C46F85" w:rsidP="00C46F85">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LO 3: Describe key pathways in carbohydrate and lipid metabolism and explain how energy from metabolism is channelled into ATP synthesis and should explore the stages cellular respiration in eukaryotic cells and its connections with lipid metabolism.  </w:t>
      </w:r>
    </w:p>
    <w:p w:rsidR="00C46F85" w:rsidRDefault="00C46F85" w:rsidP="00C46F85">
      <w:pPr>
        <w:autoSpaceDE w:val="0"/>
        <w:autoSpaceDN w:val="0"/>
        <w:adjustRightInd w:val="0"/>
        <w:spacing w:after="0" w:line="240" w:lineRule="auto"/>
        <w:rPr>
          <w:rFonts w:ascii="Arial" w:hAnsi="Arial" w:cs="Arial"/>
          <w:sz w:val="24"/>
          <w:szCs w:val="24"/>
          <w:lang w:val="en"/>
        </w:rPr>
      </w:pPr>
    </w:p>
    <w:p w:rsidR="00C46F85" w:rsidRDefault="00C46F85" w:rsidP="00C46F85">
      <w:pPr>
        <w:autoSpaceDE w:val="0"/>
        <w:autoSpaceDN w:val="0"/>
        <w:adjustRightInd w:val="0"/>
        <w:spacing w:after="240" w:line="240" w:lineRule="auto"/>
        <w:rPr>
          <w:rFonts w:ascii="Arial" w:hAnsi="Arial" w:cs="Arial"/>
          <w:sz w:val="24"/>
          <w:szCs w:val="24"/>
          <w:lang w:val="en"/>
        </w:rPr>
      </w:pPr>
    </w:p>
    <w:p w:rsidR="00C46F85" w:rsidRDefault="00C46F85" w:rsidP="00C46F85">
      <w:pPr>
        <w:autoSpaceDE w:val="0"/>
        <w:autoSpaceDN w:val="0"/>
        <w:adjustRightInd w:val="0"/>
        <w:spacing w:before="240" w:after="240" w:line="240" w:lineRule="auto"/>
        <w:rPr>
          <w:rFonts w:ascii="Arial" w:hAnsi="Arial" w:cs="Arial"/>
          <w:b/>
          <w:bCs/>
          <w:sz w:val="24"/>
          <w:szCs w:val="24"/>
          <w:lang w:val="en"/>
        </w:rPr>
      </w:pPr>
      <w:r>
        <w:rPr>
          <w:rFonts w:ascii="Arial" w:hAnsi="Arial" w:cs="Arial"/>
          <w:b/>
          <w:bCs/>
          <w:sz w:val="24"/>
          <w:szCs w:val="24"/>
          <w:lang w:val="en"/>
        </w:rPr>
        <w:t>Allocation of marks:</w:t>
      </w:r>
    </w:p>
    <w:p w:rsidR="00C46F85" w:rsidRDefault="00C46F85" w:rsidP="00C46F85">
      <w:pPr>
        <w:autoSpaceDE w:val="0"/>
        <w:autoSpaceDN w:val="0"/>
        <w:adjustRightInd w:val="0"/>
        <w:spacing w:before="240" w:after="240" w:line="240" w:lineRule="auto"/>
        <w:rPr>
          <w:rFonts w:ascii="Arial" w:hAnsi="Arial" w:cs="Arial"/>
          <w:b/>
          <w:bCs/>
          <w:sz w:val="24"/>
          <w:szCs w:val="24"/>
          <w:lang w:val="en"/>
        </w:rPr>
      </w:pPr>
      <w:r>
        <w:rPr>
          <w:rFonts w:ascii="Arial" w:hAnsi="Arial" w:cs="Arial"/>
          <w:sz w:val="24"/>
          <w:szCs w:val="24"/>
          <w:lang w:val="en"/>
        </w:rPr>
        <w:t>LO3.  Describe key pathways in carbohydrate and lipid metabolism</w:t>
      </w:r>
    </w:p>
    <w:p w:rsidR="00C46F85" w:rsidRDefault="00C46F85" w:rsidP="00C46F85">
      <w:pPr>
        <w:autoSpaceDE w:val="0"/>
        <w:autoSpaceDN w:val="0"/>
        <w:adjustRightInd w:val="0"/>
        <w:spacing w:after="120" w:line="240" w:lineRule="auto"/>
        <w:ind w:left="851"/>
        <w:rPr>
          <w:rFonts w:ascii="Arial" w:hAnsi="Arial" w:cs="Arial"/>
          <w:sz w:val="24"/>
          <w:szCs w:val="24"/>
          <w:lang w:val="en"/>
        </w:rPr>
      </w:pPr>
      <w:r>
        <w:rPr>
          <w:rFonts w:ascii="Arial" w:hAnsi="Arial" w:cs="Arial"/>
          <w:sz w:val="24"/>
          <w:szCs w:val="24"/>
          <w:lang w:val="en"/>
        </w:rPr>
        <w:t xml:space="preserve">and explain how energy from metabolism is channelled into ATP synthesisand should explore the stages cellular respiration in eukaryotic cells and its connections with lipid metabolism.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 xml:space="preserve">          (30 %)</w:t>
      </w:r>
    </w:p>
    <w:p w:rsidR="00C46F85" w:rsidRDefault="00C46F85" w:rsidP="00C46F85">
      <w:pPr>
        <w:autoSpaceDE w:val="0"/>
        <w:autoSpaceDN w:val="0"/>
        <w:adjustRightInd w:val="0"/>
        <w:spacing w:after="240" w:line="240" w:lineRule="auto"/>
        <w:rPr>
          <w:rFonts w:ascii="Arial" w:hAnsi="Arial" w:cs="Arial"/>
          <w:sz w:val="24"/>
          <w:szCs w:val="24"/>
          <w:lang w:val="en"/>
        </w:rPr>
      </w:pPr>
    </w:p>
    <w:p w:rsidR="00C46F85" w:rsidRDefault="00C46F85" w:rsidP="00C46F85">
      <w:pPr>
        <w:autoSpaceDE w:val="0"/>
        <w:autoSpaceDN w:val="0"/>
        <w:adjustRightInd w:val="0"/>
        <w:spacing w:after="0" w:line="240" w:lineRule="auto"/>
        <w:jc w:val="both"/>
        <w:rPr>
          <w:rFonts w:ascii="Arial" w:hAnsi="Arial" w:cs="Arial"/>
          <w:sz w:val="24"/>
          <w:szCs w:val="24"/>
          <w:lang w:val="en"/>
        </w:rPr>
      </w:pPr>
    </w:p>
    <w:p w:rsidR="00C46F85" w:rsidRDefault="00C46F85" w:rsidP="00C46F85">
      <w:pPr>
        <w:autoSpaceDE w:val="0"/>
        <w:autoSpaceDN w:val="0"/>
        <w:adjustRightInd w:val="0"/>
        <w:spacing w:after="0" w:line="240" w:lineRule="auto"/>
        <w:jc w:val="both"/>
        <w:rPr>
          <w:rFonts w:ascii="Arial" w:hAnsi="Arial" w:cs="Arial"/>
          <w:sz w:val="24"/>
          <w:szCs w:val="24"/>
          <w:lang w:val="en"/>
        </w:rPr>
      </w:pPr>
    </w:p>
    <w:p w:rsidR="00C46F85" w:rsidRDefault="00C46F85" w:rsidP="00C46F85">
      <w:pPr>
        <w:autoSpaceDE w:val="0"/>
        <w:autoSpaceDN w:val="0"/>
        <w:adjustRightInd w:val="0"/>
        <w:spacing w:after="0" w:line="240" w:lineRule="auto"/>
        <w:jc w:val="both"/>
        <w:rPr>
          <w:rFonts w:ascii="Arial" w:hAnsi="Arial" w:cs="Arial"/>
          <w:sz w:val="24"/>
          <w:szCs w:val="24"/>
          <w:lang w:val="en"/>
        </w:rPr>
      </w:pPr>
    </w:p>
    <w:p w:rsidR="00C46F85" w:rsidRDefault="00C46F85" w:rsidP="00C46F85">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Glossary:</w:t>
      </w:r>
    </w:p>
    <w:p w:rsidR="00C46F85" w:rsidRDefault="00C46F85" w:rsidP="00C46F85">
      <w:pPr>
        <w:autoSpaceDE w:val="0"/>
        <w:autoSpaceDN w:val="0"/>
        <w:adjustRightInd w:val="0"/>
        <w:spacing w:before="120" w:after="120" w:line="240" w:lineRule="auto"/>
        <w:rPr>
          <w:rFonts w:ascii="Arial" w:hAnsi="Arial" w:cs="Arial"/>
          <w:color w:val="0563C1"/>
          <w:sz w:val="24"/>
          <w:szCs w:val="24"/>
          <w:u w:val="single"/>
          <w:lang w:val="en"/>
        </w:rPr>
      </w:pPr>
      <w:r>
        <w:rPr>
          <w:rFonts w:ascii="Arial" w:hAnsi="Arial" w:cs="Arial"/>
          <w:b/>
          <w:bCs/>
          <w:sz w:val="24"/>
          <w:szCs w:val="24"/>
          <w:lang w:val="en"/>
        </w:rPr>
        <w:t xml:space="preserve"> </w:t>
      </w:r>
      <w:r>
        <w:rPr>
          <w:rFonts w:ascii="Arial" w:hAnsi="Arial" w:cs="Arial"/>
          <w:sz w:val="24"/>
          <w:szCs w:val="24"/>
          <w:lang w:val="en"/>
        </w:rPr>
        <w:t>For help with understanding some of the terminology in this guidance please use the myskills resource accessed through the UWE library website (assessment &amp; feedback). R</w:t>
      </w:r>
      <w:r>
        <w:rPr>
          <w:rFonts w:ascii="Arial" w:hAnsi="Arial" w:cs="Arial"/>
          <w:color w:val="000000"/>
          <w:sz w:val="24"/>
          <w:szCs w:val="24"/>
          <w:lang w:val="en"/>
        </w:rPr>
        <w:t xml:space="preserve">esources on this site include interactive online tools </w:t>
      </w:r>
      <w:hyperlink r:id="rId4" w:history="1">
        <w:r>
          <w:rPr>
            <w:rFonts w:ascii="Arial" w:hAnsi="Arial" w:cs="Arial"/>
            <w:color w:val="0563C1"/>
            <w:sz w:val="24"/>
            <w:szCs w:val="24"/>
            <w:u w:val="single"/>
            <w:lang w:val="en"/>
          </w:rPr>
          <w:t>www.uwe.ac.uk/library/resources/hub/</w:t>
        </w:r>
      </w:hyperlink>
    </w:p>
    <w:p w:rsidR="00C46F85" w:rsidRDefault="00C46F85" w:rsidP="00C46F85">
      <w:pPr>
        <w:autoSpaceDE w:val="0"/>
        <w:autoSpaceDN w:val="0"/>
        <w:adjustRightInd w:val="0"/>
        <w:spacing w:before="120" w:after="120" w:line="240" w:lineRule="auto"/>
        <w:rPr>
          <w:rFonts w:ascii="Arial" w:hAnsi="Arial" w:cs="Arial"/>
          <w:sz w:val="24"/>
          <w:szCs w:val="24"/>
          <w:lang w:val="en"/>
        </w:rPr>
      </w:pPr>
    </w:p>
    <w:tbl>
      <w:tblPr>
        <w:tblW w:w="0" w:type="auto"/>
        <w:tblInd w:w="-4" w:type="dxa"/>
        <w:tblLayout w:type="fixed"/>
        <w:tblLook w:val="0000" w:firstRow="0" w:lastRow="0" w:firstColumn="0" w:lastColumn="0" w:noHBand="0" w:noVBand="0"/>
      </w:tblPr>
      <w:tblGrid>
        <w:gridCol w:w="1277"/>
        <w:gridCol w:w="2147"/>
        <w:gridCol w:w="7389"/>
      </w:tblGrid>
      <w:tr w:rsidR="00C46F85">
        <w:tblPrEx>
          <w:tblCellMar>
            <w:top w:w="0" w:type="dxa"/>
            <w:bottom w:w="0" w:type="dxa"/>
          </w:tblCellMar>
        </w:tblPrEx>
        <w:trPr>
          <w:trHeight w:val="1"/>
        </w:trPr>
        <w:tc>
          <w:tcPr>
            <w:tcW w:w="34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120" w:line="240" w:lineRule="auto"/>
              <w:jc w:val="center"/>
              <w:rPr>
                <w:rFonts w:ascii="Calibri" w:hAnsi="Calibri" w:cs="Calibri"/>
                <w:lang w:val="en"/>
              </w:rPr>
            </w:pPr>
            <w:r>
              <w:rPr>
                <w:rFonts w:ascii="Arial" w:hAnsi="Arial" w:cs="Arial"/>
                <w:b/>
                <w:bCs/>
                <w:i/>
                <w:iCs/>
                <w:sz w:val="24"/>
                <w:szCs w:val="24"/>
                <w:lang w:val="en"/>
              </w:rPr>
              <w:t>Undergraduate Level 1</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i/>
                <w:iCs/>
                <w:sz w:val="24"/>
                <w:szCs w:val="24"/>
                <w:lang w:val="en"/>
              </w:rPr>
              <w:t>Indicative Qualities</w:t>
            </w:r>
          </w:p>
        </w:tc>
      </w:tr>
      <w:tr w:rsidR="00C46F85">
        <w:tblPrEx>
          <w:tblCellMar>
            <w:top w:w="0" w:type="dxa"/>
            <w:bottom w:w="0" w:type="dxa"/>
          </w:tblCellMar>
        </w:tblPrEx>
        <w:trPr>
          <w:trHeight w:val="522"/>
        </w:trPr>
        <w:tc>
          <w:tcPr>
            <w:tcW w:w="1277" w:type="dxa"/>
            <w:tcBorders>
              <w:top w:val="single" w:sz="3" w:space="0" w:color="000000"/>
              <w:left w:val="single" w:sz="3" w:space="0" w:color="000000"/>
              <w:bottom w:val="single" w:sz="3" w:space="0" w:color="000000"/>
              <w:right w:val="single" w:sz="3" w:space="0" w:color="000000"/>
            </w:tcBorders>
            <w:shd w:val="clear" w:color="auto" w:fill="BF8F00"/>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lastRenderedPageBreak/>
              <w:t>100 - 90%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(1)</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Exceptional</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autoSpaceDE w:val="0"/>
              <w:autoSpaceDN w:val="0"/>
              <w:adjustRightInd w:val="0"/>
              <w:spacing w:after="240" w:line="240" w:lineRule="auto"/>
              <w:rPr>
                <w:rFonts w:ascii="Calibri" w:hAnsi="Calibri" w:cs="Calibri"/>
                <w:lang w:val="en"/>
              </w:rPr>
            </w:pPr>
            <w:r>
              <w:rPr>
                <w:rFonts w:ascii="Arial" w:hAnsi="Arial" w:cs="Arial"/>
                <w:i/>
                <w:iCs/>
                <w:sz w:val="20"/>
                <w:szCs w:val="20"/>
                <w:lang w:val="en"/>
              </w:rPr>
              <w:t>Exceptional in knowledge and comprehension and creativity. Original and imaginative argument and critical evaluation. Exemplary.</w:t>
            </w:r>
          </w:p>
        </w:tc>
      </w:tr>
      <w:tr w:rsidR="00C46F85">
        <w:tblPrEx>
          <w:tblCellMar>
            <w:top w:w="0" w:type="dxa"/>
            <w:bottom w:w="0" w:type="dxa"/>
          </w:tblCellMar>
        </w:tblPrEx>
        <w:trPr>
          <w:trHeight w:val="857"/>
        </w:trPr>
        <w:tc>
          <w:tcPr>
            <w:tcW w:w="1277" w:type="dxa"/>
            <w:tcBorders>
              <w:top w:val="single" w:sz="3" w:space="0" w:color="000000"/>
              <w:left w:val="single" w:sz="3" w:space="0" w:color="000000"/>
              <w:bottom w:val="single" w:sz="3" w:space="0" w:color="000000"/>
              <w:right w:val="single" w:sz="3" w:space="0" w:color="000000"/>
            </w:tcBorders>
            <w:shd w:val="clear" w:color="auto" w:fill="BF8F00"/>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t>89 - 80%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(1)</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Outstanding</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r>
              <w:rPr>
                <w:rFonts w:ascii="Arial" w:hAnsi="Arial" w:cs="Arial"/>
                <w:i/>
                <w:iCs/>
                <w:sz w:val="20"/>
                <w:szCs w:val="20"/>
                <w:lang w:val="en"/>
              </w:rPr>
              <w:t xml:space="preserve">Clear and sophisticated argument and evaluation. Evidence of insightful analysis in most areas; convincing synthesis of a range of appropriate sources. Excellent referencing. </w:t>
            </w:r>
          </w:p>
        </w:tc>
      </w:tr>
      <w:tr w:rsidR="00C46F85">
        <w:tblPrEx>
          <w:tblCellMar>
            <w:top w:w="0" w:type="dxa"/>
            <w:bottom w:w="0" w:type="dxa"/>
          </w:tblCellMar>
        </w:tblPrEx>
        <w:trPr>
          <w:trHeight w:val="958"/>
        </w:trPr>
        <w:tc>
          <w:tcPr>
            <w:tcW w:w="1277" w:type="dxa"/>
            <w:tcBorders>
              <w:top w:val="single" w:sz="3" w:space="0" w:color="000000"/>
              <w:left w:val="single" w:sz="3" w:space="0" w:color="000000"/>
              <w:bottom w:val="single" w:sz="3" w:space="0" w:color="000000"/>
              <w:right w:val="single" w:sz="3" w:space="0" w:color="000000"/>
            </w:tcBorders>
            <w:shd w:val="clear" w:color="auto" w:fill="BF8F00"/>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t>79 - 70%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(1)</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Excellent</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Clear and well-presented argument. Evidence of clear understanding of relevant issues and ideas. Sound evidence of evaluation and knowledge. Logical development of ideas presented. Evidence of having read widely and appropriately. Very good referencing.</w:t>
            </w: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auto" w:fill="FFD966"/>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t>69 - 60%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(2i)</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Very Good</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autoSpaceDE w:val="0"/>
              <w:autoSpaceDN w:val="0"/>
              <w:adjustRightInd w:val="0"/>
              <w:spacing w:after="240" w:line="240" w:lineRule="auto"/>
              <w:rPr>
                <w:rFonts w:ascii="Calibri" w:hAnsi="Calibri" w:cs="Calibri"/>
                <w:lang w:val="en"/>
              </w:rPr>
            </w:pPr>
            <w:r>
              <w:rPr>
                <w:rFonts w:ascii="Arial" w:hAnsi="Arial" w:cs="Arial"/>
                <w:i/>
                <w:iCs/>
                <w:sz w:val="20"/>
                <w:szCs w:val="20"/>
                <w:lang w:val="en"/>
              </w:rPr>
              <w:t xml:space="preserve">Comprehensive in content and reasonably well organised argument but evaluation and development of ideas could be improved. Demonstrates ability to evaluate but somewhat limited in depth discussion. Clear evidence of appropriate reading. Good </w:t>
            </w:r>
            <w:bookmarkStart w:id="0" w:name="_GoBack"/>
            <w:r>
              <w:rPr>
                <w:rFonts w:ascii="Arial" w:hAnsi="Arial" w:cs="Arial"/>
                <w:i/>
                <w:iCs/>
                <w:sz w:val="20"/>
                <w:szCs w:val="20"/>
                <w:lang w:val="en"/>
              </w:rPr>
              <w:t>referencing.</w:t>
            </w: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auto" w:fill="FFE599"/>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t>59 - 50%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(2ii)</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Good</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Competent grasp of main issues showing ability to begin to evaluate and interpret information, but could be strengthened. Some analysis evident and begins to develop argument but tends to be descriptive. Balance between description and evaluation could be improved. Some evidence of reading but limited and not</w:t>
            </w:r>
            <w:bookmarkEnd w:id="0"/>
            <w:r>
              <w:rPr>
                <w:rFonts w:ascii="Arial" w:hAnsi="Arial" w:cs="Arial"/>
                <w:i/>
                <w:iCs/>
                <w:sz w:val="20"/>
                <w:szCs w:val="20"/>
                <w:lang w:val="en"/>
              </w:rPr>
              <w:t xml:space="preserve"> always appropriately referenced.</w:t>
            </w: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auto" w:fill="FFF2CC"/>
            <w:vAlign w:val="center"/>
          </w:tcPr>
          <w:p w:rsidR="00C46F85" w:rsidRDefault="00C46F85">
            <w:pPr>
              <w:autoSpaceDE w:val="0"/>
              <w:autoSpaceDN w:val="0"/>
              <w:adjustRightInd w:val="0"/>
              <w:spacing w:after="240" w:line="240" w:lineRule="auto"/>
              <w:jc w:val="center"/>
              <w:rPr>
                <w:rFonts w:ascii="Arial" w:hAnsi="Arial" w:cs="Arial"/>
                <w:b/>
                <w:bCs/>
                <w:sz w:val="18"/>
                <w:szCs w:val="18"/>
                <w:lang w:val="en"/>
              </w:rPr>
            </w:pPr>
            <w:r>
              <w:rPr>
                <w:rFonts w:ascii="Arial" w:hAnsi="Arial" w:cs="Arial"/>
                <w:b/>
                <w:bCs/>
                <w:sz w:val="18"/>
                <w:szCs w:val="18"/>
                <w:lang w:val="en"/>
              </w:rPr>
              <w:t>49 - 40%</w:t>
            </w:r>
          </w:p>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(3)</w:t>
            </w:r>
          </w:p>
        </w:tc>
        <w:tc>
          <w:tcPr>
            <w:tcW w:w="2147"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Pass</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Meets the relevant learning outcomes but mostly descriptive. Some basic interpretation and evaluation but not very well developed. May be prone to unsubstantiated assertion. Some misunderstanding of key principles and concepts. Evidence of some structure but not always well sequenced. Evidence of some reading.</w:t>
            </w: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39 - 35%</w:t>
            </w:r>
          </w:p>
        </w:tc>
        <w:tc>
          <w:tcPr>
            <w:tcW w:w="214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 xml:space="preserve">Marginal Fail </w:t>
            </w:r>
          </w:p>
        </w:tc>
        <w:tc>
          <w:tcPr>
            <w:tcW w:w="7389" w:type="dxa"/>
            <w:tcBorders>
              <w:top w:val="single" w:sz="3" w:space="0" w:color="000000"/>
              <w:left w:val="single" w:sz="3" w:space="0" w:color="000000"/>
              <w:bottom w:val="single" w:sz="3" w:space="0" w:color="000000"/>
              <w:right w:val="single" w:sz="3" w:space="0" w:color="000000"/>
            </w:tcBorders>
            <w:shd w:val="clear" w:color="auto" w:fill="F2F2F2"/>
          </w:tcPr>
          <w:p w:rsidR="00C46F85" w:rsidRDefault="00C46F85">
            <w:pPr>
              <w:tabs>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Some strengths, but overall not reaching the minimum pass standard due to some key omissions in presentation, argument or structure. Lines of argument need further development. Content not always relevant. Limited evidence of reading.</w:t>
            </w:r>
          </w:p>
          <w:p w:rsidR="00C46F85" w:rsidRDefault="00C46F85">
            <w:pPr>
              <w:tabs>
                <w:tab w:val="left" w:pos="1440"/>
              </w:tabs>
              <w:autoSpaceDE w:val="0"/>
              <w:autoSpaceDN w:val="0"/>
              <w:adjustRightInd w:val="0"/>
              <w:spacing w:after="0" w:line="240" w:lineRule="auto"/>
              <w:rPr>
                <w:rFonts w:ascii="Calibri" w:hAnsi="Calibri" w:cs="Calibri"/>
                <w:lang w:val="en"/>
              </w:rPr>
            </w:pPr>
            <w:r>
              <w:rPr>
                <w:rFonts w:ascii="Arial" w:hAnsi="Arial" w:cs="Arial"/>
                <w:i/>
                <w:iCs/>
                <w:sz w:val="20"/>
                <w:szCs w:val="20"/>
                <w:lang w:val="en"/>
              </w:rPr>
              <w:t xml:space="preserve"> </w:t>
            </w:r>
          </w:p>
        </w:tc>
      </w:tr>
      <w:tr w:rsidR="00C46F85">
        <w:tblPrEx>
          <w:tblCellMar>
            <w:top w:w="0" w:type="dxa"/>
            <w:bottom w:w="0" w:type="dxa"/>
          </w:tblCellMar>
        </w:tblPrEx>
        <w:trPr>
          <w:trHeight w:val="808"/>
        </w:trPr>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34 - 30%</w:t>
            </w:r>
          </w:p>
        </w:tc>
        <w:tc>
          <w:tcPr>
            <w:tcW w:w="2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A Limited Piece of Work</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r>
              <w:rPr>
                <w:rFonts w:ascii="Arial" w:hAnsi="Arial" w:cs="Arial"/>
                <w:i/>
                <w:iCs/>
                <w:sz w:val="20"/>
                <w:szCs w:val="20"/>
                <w:lang w:val="en"/>
              </w:rPr>
              <w:t>Some positive elements but missing some essential aspects. For example, may be lacking in focus and structure. Likely to have limited discussion with some lack of relevance. Presentation may need to be improved. Likely to show insufficient evidence of reading.</w:t>
            </w: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29 - 20%</w:t>
            </w:r>
          </w:p>
        </w:tc>
        <w:tc>
          <w:tcPr>
            <w:tcW w:w="2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A Limited Piece of Work</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 xml:space="preserve">Some positive elements but generally unsatisfactory with some irrelevant or incorrect material. Lack of discussion. Likely to show insufficient evidence of reading; </w:t>
            </w: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p>
        </w:tc>
      </w:tr>
      <w:tr w:rsidR="00C46F85">
        <w:tblPrEx>
          <w:tblCellMar>
            <w:top w:w="0" w:type="dxa"/>
            <w:bottom w:w="0" w:type="dxa"/>
          </w:tblCellMar>
        </w:tblPrEx>
        <w:trPr>
          <w:trHeight w:val="1"/>
        </w:trPr>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19 - 10%</w:t>
            </w:r>
          </w:p>
        </w:tc>
        <w:tc>
          <w:tcPr>
            <w:tcW w:w="2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 xml:space="preserve">A Very Limited Piece of Work </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Significant deficiencies. Likely to have insufficient, irrelevant or incorrect material. Likely to have very poor structure; no discussion.</w:t>
            </w: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p>
        </w:tc>
      </w:tr>
      <w:tr w:rsidR="00C46F85">
        <w:tblPrEx>
          <w:tblCellMar>
            <w:top w:w="0" w:type="dxa"/>
            <w:bottom w:w="0" w:type="dxa"/>
          </w:tblCellMar>
        </w:tblPrEx>
        <w:trPr>
          <w:trHeight w:val="846"/>
        </w:trPr>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9 - 0%</w:t>
            </w:r>
          </w:p>
        </w:tc>
        <w:tc>
          <w:tcPr>
            <w:tcW w:w="2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6F85" w:rsidRDefault="00C46F85">
            <w:pPr>
              <w:autoSpaceDE w:val="0"/>
              <w:autoSpaceDN w:val="0"/>
              <w:adjustRightInd w:val="0"/>
              <w:spacing w:after="240" w:line="240" w:lineRule="auto"/>
              <w:jc w:val="center"/>
              <w:rPr>
                <w:rFonts w:ascii="Calibri" w:hAnsi="Calibri" w:cs="Calibri"/>
                <w:lang w:val="en"/>
              </w:rPr>
            </w:pPr>
            <w:r>
              <w:rPr>
                <w:rFonts w:ascii="Arial" w:hAnsi="Arial" w:cs="Arial"/>
                <w:b/>
                <w:bCs/>
                <w:sz w:val="18"/>
                <w:szCs w:val="18"/>
                <w:lang w:val="en"/>
              </w:rPr>
              <w:t>Exceptionally Limited Piece of Work</w:t>
            </w:r>
          </w:p>
        </w:tc>
        <w:tc>
          <w:tcPr>
            <w:tcW w:w="7389" w:type="dxa"/>
            <w:tcBorders>
              <w:top w:val="single" w:sz="3" w:space="0" w:color="000000"/>
              <w:left w:val="single" w:sz="3" w:space="0" w:color="000000"/>
              <w:bottom w:val="single" w:sz="3" w:space="0" w:color="000000"/>
              <w:right w:val="single" w:sz="3" w:space="0" w:color="000000"/>
            </w:tcBorders>
            <w:shd w:val="clear" w:color="000000" w:fill="FFFFFF"/>
          </w:tcPr>
          <w:p w:rsidR="00C46F85" w:rsidRDefault="00C46F85">
            <w:pPr>
              <w:tabs>
                <w:tab w:val="left" w:pos="1080"/>
                <w:tab w:val="left" w:pos="1440"/>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 xml:space="preserve">Insufficient material presented. No evidence of sufficient preparation. </w:t>
            </w:r>
          </w:p>
          <w:p w:rsidR="00C46F85" w:rsidRDefault="00C46F85">
            <w:pPr>
              <w:tabs>
                <w:tab w:val="left" w:pos="1080"/>
                <w:tab w:val="left" w:pos="1440"/>
              </w:tabs>
              <w:autoSpaceDE w:val="0"/>
              <w:autoSpaceDN w:val="0"/>
              <w:adjustRightInd w:val="0"/>
              <w:spacing w:after="0" w:line="240" w:lineRule="auto"/>
              <w:rPr>
                <w:rFonts w:ascii="Arial" w:hAnsi="Arial" w:cs="Arial"/>
                <w:i/>
                <w:iCs/>
                <w:color w:val="000000"/>
                <w:sz w:val="20"/>
                <w:szCs w:val="20"/>
                <w:lang w:val="en"/>
              </w:rPr>
            </w:pPr>
          </w:p>
          <w:p w:rsidR="00C46F85" w:rsidRDefault="00C46F85">
            <w:pPr>
              <w:tabs>
                <w:tab w:val="left" w:pos="1080"/>
                <w:tab w:val="left" w:pos="1440"/>
              </w:tabs>
              <w:autoSpaceDE w:val="0"/>
              <w:autoSpaceDN w:val="0"/>
              <w:adjustRightInd w:val="0"/>
              <w:spacing w:after="0" w:line="240" w:lineRule="auto"/>
              <w:rPr>
                <w:rFonts w:ascii="Calibri" w:hAnsi="Calibri" w:cs="Calibri"/>
                <w:lang w:val="en"/>
              </w:rPr>
            </w:pPr>
            <w:r>
              <w:rPr>
                <w:rFonts w:ascii="Arial" w:hAnsi="Arial" w:cs="Arial"/>
                <w:i/>
                <w:iCs/>
                <w:color w:val="000000"/>
                <w:sz w:val="20"/>
                <w:szCs w:val="20"/>
                <w:lang w:val="en"/>
              </w:rPr>
              <w:t>Zero is reserved for failure to attempt an answer.</w:t>
            </w:r>
          </w:p>
        </w:tc>
      </w:tr>
    </w:tbl>
    <w:p w:rsidR="00C46F85" w:rsidRDefault="00C46F85" w:rsidP="00C46F85">
      <w:pPr>
        <w:keepNext/>
        <w:keepLines/>
        <w:autoSpaceDE w:val="0"/>
        <w:autoSpaceDN w:val="0"/>
        <w:adjustRightInd w:val="0"/>
        <w:spacing w:after="100" w:line="240" w:lineRule="auto"/>
        <w:rPr>
          <w:rFonts w:ascii="Arial" w:hAnsi="Arial" w:cs="Arial"/>
          <w:b/>
          <w:bCs/>
          <w:sz w:val="24"/>
          <w:szCs w:val="24"/>
          <w:lang w:val="en"/>
        </w:rPr>
      </w:pPr>
    </w:p>
    <w:p w:rsidR="00C46F85" w:rsidRDefault="00C46F85" w:rsidP="00C46F85">
      <w:pPr>
        <w:autoSpaceDE w:val="0"/>
        <w:autoSpaceDN w:val="0"/>
        <w:adjustRightInd w:val="0"/>
        <w:spacing w:after="240" w:line="240" w:lineRule="auto"/>
        <w:rPr>
          <w:rFonts w:ascii="Arial" w:hAnsi="Arial" w:cs="Arial"/>
          <w:sz w:val="24"/>
          <w:szCs w:val="24"/>
          <w:lang w:val="en"/>
        </w:rPr>
      </w:pPr>
    </w:p>
    <w:p w:rsidR="00C46F85" w:rsidRDefault="00C46F85" w:rsidP="00C46F85">
      <w:pPr>
        <w:autoSpaceDE w:val="0"/>
        <w:autoSpaceDN w:val="0"/>
        <w:adjustRightInd w:val="0"/>
        <w:spacing w:after="240" w:line="240" w:lineRule="auto"/>
        <w:rPr>
          <w:rFonts w:ascii="Arial" w:hAnsi="Arial" w:cs="Arial"/>
          <w:sz w:val="24"/>
          <w:szCs w:val="24"/>
          <w:lang w:val="en"/>
        </w:rPr>
      </w:pPr>
    </w:p>
    <w:p w:rsidR="00C46F85" w:rsidRDefault="00C46F85" w:rsidP="00C46F85">
      <w:pPr>
        <w:autoSpaceDE w:val="0"/>
        <w:autoSpaceDN w:val="0"/>
        <w:adjustRightInd w:val="0"/>
        <w:spacing w:after="240" w:line="240" w:lineRule="auto"/>
        <w:rPr>
          <w:rFonts w:ascii="Arial" w:hAnsi="Arial" w:cs="Arial"/>
          <w:sz w:val="24"/>
          <w:szCs w:val="24"/>
          <w:lang w:val="en"/>
        </w:rPr>
      </w:pPr>
    </w:p>
    <w:p w:rsidR="00C46F85" w:rsidRDefault="00C46F85" w:rsidP="00C46F85">
      <w:pPr>
        <w:autoSpaceDE w:val="0"/>
        <w:autoSpaceDN w:val="0"/>
        <w:adjustRightInd w:val="0"/>
        <w:spacing w:after="240" w:line="240" w:lineRule="auto"/>
        <w:rPr>
          <w:rFonts w:ascii="Arial" w:hAnsi="Arial" w:cs="Arial"/>
          <w:sz w:val="24"/>
          <w:szCs w:val="24"/>
          <w:lang w:val="en"/>
        </w:rPr>
      </w:pPr>
    </w:p>
    <w:p w:rsidR="00C85B7C" w:rsidRDefault="00C85B7C"/>
    <w:sectPr w:rsidR="00C85B7C"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490E42"/>
    <w:rsid w:val="007A7428"/>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min\Downloads\www.uwe.ac.uk\library\resource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2020-06-25T04:12:00Z</dcterms:created>
  <dcterms:modified xsi:type="dcterms:W3CDTF">2020-06-25T04:12:00Z</dcterms:modified>
</cp:coreProperties>
</file>