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74" w:rsidRDefault="00434774" w:rsidP="004347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proofErr w:type="spellStart"/>
      <w:r>
        <w:rPr>
          <w:rFonts w:ascii="Times New Roman" w:hAnsi="Times New Roman" w:cs="Times New Roman"/>
          <w:color w:val="355E8E"/>
          <w:sz w:val="24"/>
          <w:szCs w:val="24"/>
          <w:lang w:val="en"/>
        </w:rPr>
        <w:t>Dysbiosis</w:t>
      </w:r>
      <w:proofErr w:type="spellEnd"/>
      <w:r>
        <w:rPr>
          <w:rFonts w:ascii="Times New Roman" w:hAnsi="Times New Roman" w:cs="Times New Roman"/>
          <w:color w:val="355E8E"/>
          <w:sz w:val="24"/>
          <w:szCs w:val="24"/>
          <w:lang w:val="en"/>
        </w:rPr>
        <w:t xml:space="preserve"> of Intestinal Butyrate-producing Bacteria in Saudi Pediatric Inflammatory Bowel Disease Patients 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highlight w:val="yellow"/>
          <w:lang w:val="en"/>
        </w:rPr>
        <w:t>Try to follow this backbone: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Introduction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Crohn disease (CD)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(300 words)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What is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it ?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relation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to IBD – Historical background -  type of IBD (mainly CD &amp; UC) –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Diffrance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between CD &amp; UC in signs and symptoms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Epidemiology of CD 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Incidence &amp; Prevalence: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(300 words)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Worldwide &gt; Middle East &gt; Gulf Cooperation Council (GCC) Countries &gt; Saudi Arabia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Distribution by Age: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(100 words)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Worldwide &gt; Middle East &gt; Gulf Cooperation Council (GCC) Countries &gt; Saudi Arabia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Distribution by Gender :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(100 words)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Worldwide &gt; Middle East &gt; Gulf Cooperation Council (GCC) Countries &gt; Saudi Arabia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etiology of CD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(150 words)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Risk Factors: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 xml:space="preserve">( try to relate this factors to the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dysbiosis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 xml:space="preserve"> of gut Microbiota)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immune mechanisms involved in IBD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Normal mucosal immunity 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(200 words)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IBD immunopathology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(200 words)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Genetic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(200 words)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Gut Microbiota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(200 words)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Diet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(200 words)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Smoking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(200 words)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Infection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(200 words)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Immunization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(200 words)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Antibiotic consumption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(200 words)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Hygiene Hypostasis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(200 words)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Butyrate Producing Bacteria (BPB)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(500 words)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What is Butyrate? – The important of butyrate for Gut – The 4 Pathways of Butyrate production in Bacteria.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BPB in Healthy Humans: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(700 words)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Mention the main BPB families and species in Westin, Middle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east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, GCC and Saudi Cohorts.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difference between Adult and pediatric BPB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Give example the factors affecting the normal gut microbiota (geographic, economic, race, diet,)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BPB in CD Pediatric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(700 words)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Mention 10 studies showing the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dysbiosis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BPB in Westin, Middle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east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, GCC and Saudi Cohorts.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 xml:space="preserve">(Note: The 10 studies should be from Pediatric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chron’s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 xml:space="preserve"> Cohort, using stool sample, using PCR or sequencing Technique)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Add a Table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summaring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the 10 studies (example below)</w:t>
      </w:r>
    </w:p>
    <w:bookmarkEnd w:id="0"/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Sample types used for studding intestinal microbiota </w:t>
      </w:r>
      <w:r>
        <w:rPr>
          <w:rFonts w:ascii="Times New Roman" w:hAnsi="Times New Roman" w:cs="Times New Roman"/>
          <w:sz w:val="24"/>
          <w:szCs w:val="24"/>
          <w:highlight w:val="yellow"/>
          <w:lang w:val="en"/>
        </w:rPr>
        <w:t>(300 words)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Why the stool is the most use.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::::::: General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instruction :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::::::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Use new references (2010 – 2020).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Please consider the interconnection of ideas. 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Use my references below and add more.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Use up to 60 references.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See my attached file (proposal) to take overview. </w:t>
      </w:r>
    </w:p>
    <w:p w:rsidR="00434774" w:rsidRDefault="00434774" w:rsidP="0043477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Contact me if you wont to edit something.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34774" w:rsidRDefault="00434774" w:rsidP="00434774">
      <w:pPr>
        <w:keepNext/>
        <w:keepLines/>
        <w:autoSpaceDE w:val="0"/>
        <w:autoSpaceDN w:val="0"/>
        <w:adjustRightInd w:val="0"/>
        <w:spacing w:after="0" w:line="480" w:lineRule="auto"/>
        <w:ind w:right="426"/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  <w:lang w:val="en"/>
        </w:rPr>
      </w:pPr>
      <w:r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  <w:lang w:val="en"/>
        </w:rPr>
        <w:t>Research and References: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Arrieta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M.-C.,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The intestinal microbiome in early life: health and disease.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Frontiers in immunology, 2014.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5</w:t>
      </w:r>
      <w:r>
        <w:rPr>
          <w:rFonts w:ascii="Times New Roman" w:hAnsi="Times New Roman" w:cs="Times New Roman"/>
          <w:sz w:val="24"/>
          <w:szCs w:val="24"/>
          <w:lang w:val="en"/>
        </w:rPr>
        <w:t>: p. 427.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Louis, P.,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Diversity of human colonic butyrate‐producing bacteria revealed by analysis of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butyryl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‐CoA: acetate CoA‐transferase gene.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Environmental microbiology, 2010.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12</w:t>
      </w:r>
      <w:r>
        <w:rPr>
          <w:rFonts w:ascii="Times New Roman" w:hAnsi="Times New Roman" w:cs="Times New Roman"/>
          <w:sz w:val="24"/>
          <w:szCs w:val="24"/>
          <w:lang w:val="en"/>
        </w:rPr>
        <w:t>(2): p. 304-314.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Santoru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M.L.,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Cross sectional evaluation of the gut-microbiome metabolome axis in an Italian cohort of IBD patients.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Scientific reports, 2017.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7</w:t>
      </w:r>
      <w:r>
        <w:rPr>
          <w:rFonts w:ascii="Times New Roman" w:hAnsi="Times New Roman" w:cs="Times New Roman"/>
          <w:sz w:val="24"/>
          <w:szCs w:val="24"/>
          <w:lang w:val="en"/>
        </w:rPr>
        <w:t>(1): p. 9523.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Tamboli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C., et al.,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Dysbiosis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in inflammatory bowel disease.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Gut, 2004.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53</w:t>
      </w:r>
      <w:r>
        <w:rPr>
          <w:rFonts w:ascii="Times New Roman" w:hAnsi="Times New Roman" w:cs="Times New Roman"/>
          <w:sz w:val="24"/>
          <w:szCs w:val="24"/>
          <w:lang w:val="en"/>
        </w:rPr>
        <w:t>(1): p. 1-4.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5.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Buttó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L.F. and D. Haller,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Dysbiosis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in intestinal inflammation: cause or consequence.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International Journal of Medical Microbiology, 2016.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306</w:t>
      </w:r>
      <w:r>
        <w:rPr>
          <w:rFonts w:ascii="Times New Roman" w:hAnsi="Times New Roman" w:cs="Times New Roman"/>
          <w:sz w:val="24"/>
          <w:szCs w:val="24"/>
          <w:lang w:val="en"/>
        </w:rPr>
        <w:t>(5): p. 302-309.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6.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Neuman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M.G. and R.M.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Nanau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Inflammatory bowel disease: role of diet, microbiota, life style.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Translational Research, 2012.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160</w:t>
      </w:r>
      <w:r>
        <w:rPr>
          <w:rFonts w:ascii="Times New Roman" w:hAnsi="Times New Roman" w:cs="Times New Roman"/>
          <w:sz w:val="24"/>
          <w:szCs w:val="24"/>
          <w:lang w:val="en"/>
        </w:rPr>
        <w:t>(1): p. 29-44.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7.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Weimers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P. and P.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Munkholm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The Natural History of IBD: Lessons Learned.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Current treatment options in gastroenterology, 2018: p. 1-11.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8.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Sýkora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J.,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Current global trends in the incidence of pediatric-onset inflammatory bowel disease.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World journal of gastroenterology, 2018.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24</w:t>
      </w:r>
      <w:r>
        <w:rPr>
          <w:rFonts w:ascii="Times New Roman" w:hAnsi="Times New Roman" w:cs="Times New Roman"/>
          <w:sz w:val="24"/>
          <w:szCs w:val="24"/>
          <w:lang w:val="en"/>
        </w:rPr>
        <w:t>(25): p. 2741.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9.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Mouzan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M.I.,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Incidence of pediatric inflammatory bowel disease in Saudi Arabia: a multicenter national study.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Inflammatory bowel diseases, 2014.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20</w:t>
      </w:r>
      <w:r>
        <w:rPr>
          <w:rFonts w:ascii="Times New Roman" w:hAnsi="Times New Roman" w:cs="Times New Roman"/>
          <w:sz w:val="24"/>
          <w:szCs w:val="24"/>
          <w:lang w:val="en"/>
        </w:rPr>
        <w:t>(6): p. 1085-1090.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10.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Bernstein, C.N. and F. Shanahan,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Disorders of a modern lifestyle: reconciling the epidemiology of inflammatory bowel diseases.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Gut, 2008.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57</w:t>
      </w:r>
      <w:r>
        <w:rPr>
          <w:rFonts w:ascii="Times New Roman" w:hAnsi="Times New Roman" w:cs="Times New Roman"/>
          <w:sz w:val="24"/>
          <w:szCs w:val="24"/>
          <w:lang w:val="en"/>
        </w:rPr>
        <w:t>(9): p. 1185-1191.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11.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Lindberg, E.,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Smoking and inflammatory bowel disease. A case control study.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Gut, 1988.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29</w:t>
      </w:r>
      <w:r>
        <w:rPr>
          <w:rFonts w:ascii="Times New Roman" w:hAnsi="Times New Roman" w:cs="Times New Roman"/>
          <w:sz w:val="24"/>
          <w:szCs w:val="24"/>
          <w:lang w:val="en"/>
        </w:rPr>
        <w:t>(3): p. 352-357.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12.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Chow, J. and S.K.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Mazmanian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pathobiont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of the microbiota balances host colonization and intestinal inflammation.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Cell host &amp; microbe, 2010.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7</w:t>
      </w:r>
      <w:r>
        <w:rPr>
          <w:rFonts w:ascii="Times New Roman" w:hAnsi="Times New Roman" w:cs="Times New Roman"/>
          <w:sz w:val="24"/>
          <w:szCs w:val="24"/>
          <w:lang w:val="en"/>
        </w:rPr>
        <w:t>(4): p. 265-276.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13.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Li, E.,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Inflammatory bowel diseases phenotype, C. difficile and NOD2 genotype are associated with shifts in human ileum associated microbial composition.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one, 2012.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7</w:t>
      </w:r>
      <w:r>
        <w:rPr>
          <w:rFonts w:ascii="Times New Roman" w:hAnsi="Times New Roman" w:cs="Times New Roman"/>
          <w:sz w:val="24"/>
          <w:szCs w:val="24"/>
          <w:lang w:val="en"/>
        </w:rPr>
        <w:t>(6): p. e26284.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14.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Allez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M. and L. Mayer,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Regulatory T cells: peace keepers in the gut.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Inflammatory bowel diseases, 2004.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10</w:t>
      </w:r>
      <w:r>
        <w:rPr>
          <w:rFonts w:ascii="Times New Roman" w:hAnsi="Times New Roman" w:cs="Times New Roman"/>
          <w:sz w:val="24"/>
          <w:szCs w:val="24"/>
          <w:lang w:val="en"/>
        </w:rPr>
        <w:t>(5): p. 666-676.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15.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Fava, F. and S.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Danese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Intestinal microbiota in inflammatory bowel disease: friend of foe?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World journal of gastroenterology: WJG, 2011.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17</w:t>
      </w:r>
      <w:r>
        <w:rPr>
          <w:rFonts w:ascii="Times New Roman" w:hAnsi="Times New Roman" w:cs="Times New Roman"/>
          <w:sz w:val="24"/>
          <w:szCs w:val="24"/>
          <w:lang w:val="en"/>
        </w:rPr>
        <w:t>(5): p. 557.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16.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Eckburg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P.B.,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Diversity of the human intestinal microbial flora.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science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, 2005.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308</w:t>
      </w:r>
      <w:r>
        <w:rPr>
          <w:rFonts w:ascii="Times New Roman" w:hAnsi="Times New Roman" w:cs="Times New Roman"/>
          <w:sz w:val="24"/>
          <w:szCs w:val="24"/>
          <w:lang w:val="en"/>
        </w:rPr>
        <w:t>(5728): p. 1635-1638.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17.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Goodman, A.L.,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Extensive personal human gut microbiota culture collections characterized and manipulated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gnotobiotic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mice.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Proceedings of the National Academy of Sciences, 2011.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108</w:t>
      </w:r>
      <w:r>
        <w:rPr>
          <w:rFonts w:ascii="Times New Roman" w:hAnsi="Times New Roman" w:cs="Times New Roman"/>
          <w:sz w:val="24"/>
          <w:szCs w:val="24"/>
          <w:lang w:val="en"/>
        </w:rPr>
        <w:t>(15): p. 6252-6257.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18.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Shade, A. and J.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Handelsman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Beyond the Venn diagram: the hunt for a core microbiomeemi_2585.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2011.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19.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Lozupone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C.A.,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Diversity, stability and resilience of the human gut microbiota.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Nature, 2012.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489</w:t>
      </w:r>
      <w:r>
        <w:rPr>
          <w:rFonts w:ascii="Times New Roman" w:hAnsi="Times New Roman" w:cs="Times New Roman"/>
          <w:sz w:val="24"/>
          <w:szCs w:val="24"/>
          <w:lang w:val="en"/>
        </w:rPr>
        <w:t>(7415): p. 220.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Nicholson, J.K.,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Host-gut microbiota metabolic interactions.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Science, 2012: p. 1223813.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21.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Hamer, H.M.,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The role of butyrate on colonic function.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Alimentary pharmacology &amp; therapeutics, 2008.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27</w:t>
      </w:r>
      <w:r>
        <w:rPr>
          <w:rFonts w:ascii="Times New Roman" w:hAnsi="Times New Roman" w:cs="Times New Roman"/>
          <w:sz w:val="24"/>
          <w:szCs w:val="24"/>
          <w:lang w:val="en"/>
        </w:rPr>
        <w:t>(2): p. 104-119.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22.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Vanhoutvin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S.A.,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Butyrate-induced transcriptional changes in human colonic mucosa.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one, 2009.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  <w:lang w:val="en"/>
        </w:rPr>
        <w:t>(8): p. e6759.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23.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Arpaia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N.,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Metabolites produced by commensal bacteria promote peripheral regulatory T-cell generation.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Nature, 2013.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504</w:t>
      </w:r>
      <w:r>
        <w:rPr>
          <w:rFonts w:ascii="Times New Roman" w:hAnsi="Times New Roman" w:cs="Times New Roman"/>
          <w:sz w:val="24"/>
          <w:szCs w:val="24"/>
          <w:lang w:val="en"/>
        </w:rPr>
        <w:t>(7480): p. 451.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24.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Van den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Abbeele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P.,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Butyrate-producing Clostridium cluster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XIVa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species specifically colonize mucins in an in vitro gut model.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 ISME journal, 2013.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7</w:t>
      </w:r>
      <w:r>
        <w:rPr>
          <w:rFonts w:ascii="Times New Roman" w:hAnsi="Times New Roman" w:cs="Times New Roman"/>
          <w:sz w:val="24"/>
          <w:szCs w:val="24"/>
          <w:lang w:val="en"/>
        </w:rPr>
        <w:t>(5): p. 949.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25.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Louis, P.,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Restricted distribution of the butyrate kinase pathway among butyrate-producing bacteria from the human colon.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Journal of bacteriology, 2004.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186</w:t>
      </w:r>
      <w:r>
        <w:rPr>
          <w:rFonts w:ascii="Times New Roman" w:hAnsi="Times New Roman" w:cs="Times New Roman"/>
          <w:sz w:val="24"/>
          <w:szCs w:val="24"/>
          <w:lang w:val="en"/>
        </w:rPr>
        <w:t>(7): p. 2099-2106.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26.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Schwiertz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A.,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Microbiota in pediatric inflammatory bowel disease.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 Journal of pediatrics, 2010.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157</w:t>
      </w:r>
      <w:r>
        <w:rPr>
          <w:rFonts w:ascii="Times New Roman" w:hAnsi="Times New Roman" w:cs="Times New Roman"/>
          <w:sz w:val="24"/>
          <w:szCs w:val="24"/>
          <w:lang w:val="en"/>
        </w:rPr>
        <w:t>(2): p. 240-244. e1.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27.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Gevers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D.,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The treatment-naive microbiome in new-onset Crohn’s disease.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Cell host &amp; microbe, 2014.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15</w:t>
      </w:r>
      <w:r>
        <w:rPr>
          <w:rFonts w:ascii="Times New Roman" w:hAnsi="Times New Roman" w:cs="Times New Roman"/>
          <w:sz w:val="24"/>
          <w:szCs w:val="24"/>
          <w:lang w:val="en"/>
        </w:rPr>
        <w:t>(3): p. 382-392.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28.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Sokol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H.,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Low counts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Faecalibacterium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prausnitzii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in colitis microbiota.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Inflammatory bowel diseases, 2009.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15</w:t>
      </w:r>
      <w:r>
        <w:rPr>
          <w:rFonts w:ascii="Times New Roman" w:hAnsi="Times New Roman" w:cs="Times New Roman"/>
          <w:sz w:val="24"/>
          <w:szCs w:val="24"/>
          <w:lang w:val="en"/>
        </w:rPr>
        <w:t>(8): p. 1183-1189.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29.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Chen, L.,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Characteristics of fecal and mucosa-associated microbiota in Chinese patients with inflammatory bowel disease.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Medicine, 2014.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93</w:t>
      </w:r>
      <w:r>
        <w:rPr>
          <w:rFonts w:ascii="Times New Roman" w:hAnsi="Times New Roman" w:cs="Times New Roman"/>
          <w:sz w:val="24"/>
          <w:szCs w:val="24"/>
          <w:lang w:val="en"/>
        </w:rPr>
        <w:t>(8).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30.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De Filippo, C.,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Impact of diet in shaping gut microbiota revealed by a comparative study in children from Europe and rural Africa.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Proceedings of the National Academy of Sciences, 2010.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107</w:t>
      </w:r>
      <w:r>
        <w:rPr>
          <w:rFonts w:ascii="Times New Roman" w:hAnsi="Times New Roman" w:cs="Times New Roman"/>
          <w:sz w:val="24"/>
          <w:szCs w:val="24"/>
          <w:lang w:val="en"/>
        </w:rPr>
        <w:t>(33): p. 14691-14696.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31.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Suzuki, T.A. and M.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Worobey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Geographical variation of human gut microbial composition.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Biology letters, 2014.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10</w:t>
      </w:r>
      <w:r>
        <w:rPr>
          <w:rFonts w:ascii="Times New Roman" w:hAnsi="Times New Roman" w:cs="Times New Roman"/>
          <w:sz w:val="24"/>
          <w:szCs w:val="24"/>
          <w:lang w:val="en"/>
        </w:rPr>
        <w:t>(2): p. 20131037.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32.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Rehman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A.,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Geographical patterns of the standing and active human gut microbiome in health and IBD.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Gut, 2016.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65</w:t>
      </w:r>
      <w:r>
        <w:rPr>
          <w:rFonts w:ascii="Times New Roman" w:hAnsi="Times New Roman" w:cs="Times New Roman"/>
          <w:sz w:val="24"/>
          <w:szCs w:val="24"/>
          <w:lang w:val="en"/>
        </w:rPr>
        <w:t>(2): p. 238-248.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33.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Angelakis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E.,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Gut microbiome and dietary patterns in different Saudi populations and monkeys.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Scientific reports, 2016.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6</w:t>
      </w:r>
      <w:r>
        <w:rPr>
          <w:rFonts w:ascii="Times New Roman" w:hAnsi="Times New Roman" w:cs="Times New Roman"/>
          <w:sz w:val="24"/>
          <w:szCs w:val="24"/>
          <w:lang w:val="en"/>
        </w:rPr>
        <w:t>: p. 32191.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34.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Yasir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M.,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Comparison of the gut microbiota of people in France and Saudi Arabia.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Nutrition &amp; diabetes, 2015.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5</w:t>
      </w:r>
      <w:r>
        <w:rPr>
          <w:rFonts w:ascii="Times New Roman" w:hAnsi="Times New Roman" w:cs="Times New Roman"/>
          <w:sz w:val="24"/>
          <w:szCs w:val="24"/>
          <w:lang w:val="en"/>
        </w:rPr>
        <w:t>(4): p. e153.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35.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Hayashi, H.,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Diversity of the Clostridium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coccoides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group in human fecal microbiota as determined by 16S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rRNA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gene library.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FEMS microbiology letters, 2006.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257</w:t>
      </w:r>
      <w:r>
        <w:rPr>
          <w:rFonts w:ascii="Times New Roman" w:hAnsi="Times New Roman" w:cs="Times New Roman"/>
          <w:sz w:val="24"/>
          <w:szCs w:val="24"/>
          <w:lang w:val="en"/>
        </w:rPr>
        <w:t>(2): p. 202-207.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36.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Zoetendal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E.G., E.E. Vaughan, and W.M. De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Vos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A microbial world within us.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Molecular microbiology, 2006.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59</w:t>
      </w:r>
      <w:r>
        <w:rPr>
          <w:rFonts w:ascii="Times New Roman" w:hAnsi="Times New Roman" w:cs="Times New Roman"/>
          <w:sz w:val="24"/>
          <w:szCs w:val="24"/>
          <w:lang w:val="en"/>
        </w:rPr>
        <w:t>(6): p. 1639-1650.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37.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Větrovský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T. and P.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Baldrian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The variability of the 16S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rRNA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gene in bacterial genomes and its consequences for bacterial community analyses.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one, 2013.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8</w:t>
      </w:r>
      <w:r>
        <w:rPr>
          <w:rFonts w:ascii="Times New Roman" w:hAnsi="Times New Roman" w:cs="Times New Roman"/>
          <w:sz w:val="24"/>
          <w:szCs w:val="24"/>
          <w:lang w:val="en"/>
        </w:rPr>
        <w:t>(2): p. e57923.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38.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Louis, P. and H.J. Flint,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Development of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semiquantitative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degenerate real-time PCR-based assay for estimation of numbers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butyryl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-coenzyme A (CoA) CoA transferase genes in complex bacterial samples.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Applied and environmental microbiology, 2007.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73</w:t>
      </w:r>
      <w:r>
        <w:rPr>
          <w:rFonts w:ascii="Times New Roman" w:hAnsi="Times New Roman" w:cs="Times New Roman"/>
          <w:sz w:val="24"/>
          <w:szCs w:val="24"/>
          <w:lang w:val="en"/>
        </w:rPr>
        <w:t>(6): p. 2009-2012.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39.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Vital, M.,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A gene-targeted approach to investigate the intestinal butyrate-producing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bacterialcommunity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Microbiome, 2013.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(1): p. 8.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40.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Lewis, J.D.,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Inflammation, antibiotics, and diet as environmental stressors of the gut microbiome in pediatric Crohn’s disease.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Cell host &amp; microbe, 2015.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18</w:t>
      </w:r>
      <w:r>
        <w:rPr>
          <w:rFonts w:ascii="Times New Roman" w:hAnsi="Times New Roman" w:cs="Times New Roman"/>
          <w:sz w:val="24"/>
          <w:szCs w:val="24"/>
          <w:lang w:val="en"/>
        </w:rPr>
        <w:t>(4): p. 489-500.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41.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Sanders, M.E., et al.,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An update on the use and investigation of probiotics in health and disease.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Gut, 2013.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62</w:t>
      </w:r>
      <w:r>
        <w:rPr>
          <w:rFonts w:ascii="Times New Roman" w:hAnsi="Times New Roman" w:cs="Times New Roman"/>
          <w:sz w:val="24"/>
          <w:szCs w:val="24"/>
          <w:lang w:val="en"/>
        </w:rPr>
        <w:t>(5): p. 787-796.</w:t>
      </w:r>
    </w:p>
    <w:p w:rsidR="00434774" w:rsidRDefault="00434774" w:rsidP="004347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42.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Fraher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M.H., P.W.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O'toole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and E.M. Quigley,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Techniques used to characterize the gut microbiota: a guide for the clinician.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Nature reviews Gastroenterology &amp; hepatology, 2012.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9</w:t>
      </w:r>
      <w:r>
        <w:rPr>
          <w:rFonts w:ascii="Times New Roman" w:hAnsi="Times New Roman" w:cs="Times New Roman"/>
          <w:sz w:val="24"/>
          <w:szCs w:val="24"/>
          <w:lang w:val="en"/>
        </w:rPr>
        <w:t>(6): p. 312.</w:t>
      </w:r>
    </w:p>
    <w:p w:rsidR="00434774" w:rsidRDefault="00434774" w:rsidP="004347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95BF1" w:rsidRDefault="00D95BF1"/>
    <w:sectPr w:rsidR="00D95BF1" w:rsidSect="00184D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AA73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74"/>
    <w:rsid w:val="000310DC"/>
    <w:rsid w:val="00434774"/>
    <w:rsid w:val="00D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9C323-772E-4F7A-A73E-8960D93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2020-07-22T01:54:00Z</dcterms:created>
  <dcterms:modified xsi:type="dcterms:W3CDTF">2020-07-22T01:54:00Z</dcterms:modified>
</cp:coreProperties>
</file>