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304CRM – case study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Module Learning Outcomes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1. Critically examine the relationship between mental disorder and crime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2. Demonstrate a critical awareness of conflicting constructions of mental disorder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3. Evaluate a range of specific theories relating to mental disorder and criminology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4. Critically assess the relationship between media representation, public discourse and mental health policy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Essential Reading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Reynolds, J. et al (</w:t>
      </w:r>
      <w:proofErr w:type="spellStart"/>
      <w:r>
        <w:rPr>
          <w:rFonts w:ascii="Calibri" w:hAnsi="Calibri" w:cs="Calibri"/>
          <w:lang w:val="en"/>
        </w:rPr>
        <w:t>eds</w:t>
      </w:r>
      <w:proofErr w:type="spellEnd"/>
      <w:r>
        <w:rPr>
          <w:rFonts w:ascii="Calibri" w:hAnsi="Calibri" w:cs="Calibri"/>
          <w:lang w:val="en"/>
        </w:rPr>
        <w:t>) (2009) Mental Health Still Matters: A Reader. Basingstoke: Palgrave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Tummey</w:t>
      </w:r>
      <w:proofErr w:type="spellEnd"/>
      <w:r>
        <w:rPr>
          <w:rFonts w:ascii="Calibri" w:hAnsi="Calibri" w:cs="Calibri"/>
          <w:lang w:val="en"/>
        </w:rPr>
        <w:t>, R. and Turner, T. (</w:t>
      </w:r>
      <w:proofErr w:type="spellStart"/>
      <w:r>
        <w:rPr>
          <w:rFonts w:ascii="Calibri" w:hAnsi="Calibri" w:cs="Calibri"/>
          <w:lang w:val="en"/>
        </w:rPr>
        <w:t>eds</w:t>
      </w:r>
      <w:proofErr w:type="spellEnd"/>
      <w:r>
        <w:rPr>
          <w:rFonts w:ascii="Calibri" w:hAnsi="Calibri" w:cs="Calibri"/>
          <w:lang w:val="en"/>
        </w:rPr>
        <w:t>) (2008) Critical Issues in Mental Health. Basingstoke: Palgrave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Recommended Reading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Birch, M. (2012) Mediating Mental Health: Contexts, Debates and Analysis. </w:t>
      </w:r>
      <w:proofErr w:type="spellStart"/>
      <w:r>
        <w:rPr>
          <w:rFonts w:ascii="Calibri" w:hAnsi="Calibri" w:cs="Calibri"/>
          <w:lang w:val="en"/>
        </w:rPr>
        <w:t>Farnham</w:t>
      </w:r>
      <w:proofErr w:type="spellEnd"/>
      <w:r>
        <w:rPr>
          <w:rFonts w:ascii="Calibri" w:hAnsi="Calibri" w:cs="Calibri"/>
          <w:lang w:val="en"/>
        </w:rPr>
        <w:t xml:space="preserve">: </w:t>
      </w:r>
      <w:proofErr w:type="spellStart"/>
      <w:r>
        <w:rPr>
          <w:rFonts w:ascii="Calibri" w:hAnsi="Calibri" w:cs="Calibri"/>
          <w:lang w:val="en"/>
        </w:rPr>
        <w:t>Ashgate</w:t>
      </w:r>
      <w:proofErr w:type="spellEnd"/>
      <w:r>
        <w:rPr>
          <w:rFonts w:ascii="Calibri" w:hAnsi="Calibri" w:cs="Calibri"/>
          <w:lang w:val="en"/>
        </w:rPr>
        <w:t xml:space="preserve"> Publishing.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Bo, S., Abu-</w:t>
      </w:r>
      <w:proofErr w:type="spellStart"/>
      <w:r>
        <w:rPr>
          <w:rFonts w:ascii="Calibri" w:hAnsi="Calibri" w:cs="Calibri"/>
          <w:lang w:val="en"/>
        </w:rPr>
        <w:t>Akel</w:t>
      </w:r>
      <w:proofErr w:type="spellEnd"/>
      <w:r>
        <w:rPr>
          <w:rFonts w:ascii="Calibri" w:hAnsi="Calibri" w:cs="Calibri"/>
          <w:lang w:val="en"/>
        </w:rPr>
        <w:t xml:space="preserve">, A., </w:t>
      </w:r>
      <w:proofErr w:type="spellStart"/>
      <w:r>
        <w:rPr>
          <w:rFonts w:ascii="Calibri" w:hAnsi="Calibri" w:cs="Calibri"/>
          <w:lang w:val="en"/>
        </w:rPr>
        <w:t>Kongerslev</w:t>
      </w:r>
      <w:proofErr w:type="spellEnd"/>
      <w:r>
        <w:rPr>
          <w:rFonts w:ascii="Calibri" w:hAnsi="Calibri" w:cs="Calibri"/>
          <w:lang w:val="en"/>
        </w:rPr>
        <w:t xml:space="preserve">, M., </w:t>
      </w:r>
      <w:proofErr w:type="spellStart"/>
      <w:r>
        <w:rPr>
          <w:rFonts w:ascii="Calibri" w:hAnsi="Calibri" w:cs="Calibri"/>
          <w:lang w:val="en"/>
        </w:rPr>
        <w:t>Haahr</w:t>
      </w:r>
      <w:proofErr w:type="spellEnd"/>
      <w:r>
        <w:rPr>
          <w:rFonts w:ascii="Calibri" w:hAnsi="Calibri" w:cs="Calibri"/>
          <w:lang w:val="en"/>
        </w:rPr>
        <w:t xml:space="preserve">, U.H. and </w:t>
      </w:r>
      <w:proofErr w:type="spellStart"/>
      <w:r>
        <w:rPr>
          <w:rFonts w:ascii="Calibri" w:hAnsi="Calibri" w:cs="Calibri"/>
          <w:lang w:val="en"/>
        </w:rPr>
        <w:t>Simonsen</w:t>
      </w:r>
      <w:proofErr w:type="spellEnd"/>
      <w:r>
        <w:rPr>
          <w:rFonts w:ascii="Calibri" w:hAnsi="Calibri" w:cs="Calibri"/>
          <w:lang w:val="en"/>
        </w:rPr>
        <w:t>, E. (2011) ‘Risk factors for violence amongst patients with schizophrenia’ Clinical Psychology Review 31: 711-726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Cutcliffe</w:t>
      </w:r>
      <w:proofErr w:type="spellEnd"/>
      <w:r>
        <w:rPr>
          <w:rFonts w:ascii="Calibri" w:hAnsi="Calibri" w:cs="Calibri"/>
          <w:lang w:val="en"/>
        </w:rPr>
        <w:t>, J.R. and Hannigan, B. (2001) ‘Mass media, monsters and mental health clients’ Journal of Psychiatric and Mental Health Nursing. 8 (4): 315-321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Kinsella, C. and Kinsella, C. (2015) Introducing Mental Health: A Practical Guide (2nd ed.). London; Jessica Kingsley Publishers.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Lamsma</w:t>
      </w:r>
      <w:proofErr w:type="spellEnd"/>
      <w:r>
        <w:rPr>
          <w:rFonts w:ascii="Calibri" w:hAnsi="Calibri" w:cs="Calibri"/>
          <w:lang w:val="en"/>
        </w:rPr>
        <w:t xml:space="preserve">, J. and Harte, J.M. (2015) ‘Violence in psychosis: Conceptualizing its causal relationship with risk factors’. Aggression and Violent </w:t>
      </w:r>
      <w:proofErr w:type="spellStart"/>
      <w:r>
        <w:rPr>
          <w:rFonts w:ascii="Calibri" w:hAnsi="Calibri" w:cs="Calibri"/>
          <w:lang w:val="en"/>
        </w:rPr>
        <w:t>Behaviour</w:t>
      </w:r>
      <w:proofErr w:type="spellEnd"/>
      <w:r>
        <w:rPr>
          <w:rFonts w:ascii="Calibri" w:hAnsi="Calibri" w:cs="Calibri"/>
          <w:lang w:val="en"/>
        </w:rPr>
        <w:t xml:space="preserve"> 24:75-82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Morris, G. (2006) Mental Health Issues and the Media. New York: Routledge Mullen, P.E. and </w:t>
      </w:r>
      <w:proofErr w:type="spellStart"/>
      <w:r>
        <w:rPr>
          <w:rFonts w:ascii="Calibri" w:hAnsi="Calibri" w:cs="Calibri"/>
          <w:lang w:val="en"/>
        </w:rPr>
        <w:t>Pathe</w:t>
      </w:r>
      <w:proofErr w:type="spellEnd"/>
      <w:r>
        <w:rPr>
          <w:rFonts w:ascii="Calibri" w:hAnsi="Calibri" w:cs="Calibri"/>
          <w:lang w:val="en"/>
        </w:rPr>
        <w:t>, M. (2009) Stalkers and Their Victims. Cambridge: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Cambridge University Press.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Paterson, B. (2001). ‘Social policy and mental illness in England in the 1990s: violence, moral panic and critical discourse’. Journal of Psychiatric and Mental Health Nursing. 8: 257-267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Peay</w:t>
      </w:r>
      <w:proofErr w:type="spellEnd"/>
      <w:r>
        <w:rPr>
          <w:rFonts w:ascii="Calibri" w:hAnsi="Calibri" w:cs="Calibri"/>
          <w:lang w:val="en"/>
        </w:rPr>
        <w:t xml:space="preserve">, J. (2012) ‘Mentally disordered offenders, mental health, and crime’ in </w:t>
      </w:r>
      <w:proofErr w:type="spellStart"/>
      <w:proofErr w:type="gramStart"/>
      <w:r>
        <w:rPr>
          <w:rFonts w:ascii="Calibri" w:hAnsi="Calibri" w:cs="Calibri"/>
          <w:lang w:val="en"/>
        </w:rPr>
        <w:t>M.Maguire</w:t>
      </w:r>
      <w:proofErr w:type="spellEnd"/>
      <w:proofErr w:type="gram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R.Morgan</w:t>
      </w:r>
      <w:proofErr w:type="spellEnd"/>
      <w:r>
        <w:rPr>
          <w:rFonts w:ascii="Calibri" w:hAnsi="Calibri" w:cs="Calibri"/>
          <w:lang w:val="en"/>
        </w:rPr>
        <w:t xml:space="preserve"> and </w:t>
      </w:r>
      <w:proofErr w:type="spellStart"/>
      <w:r>
        <w:rPr>
          <w:rFonts w:ascii="Calibri" w:hAnsi="Calibri" w:cs="Calibri"/>
          <w:lang w:val="en"/>
        </w:rPr>
        <w:t>R.Reiner</w:t>
      </w:r>
      <w:proofErr w:type="spellEnd"/>
      <w:r>
        <w:rPr>
          <w:rFonts w:ascii="Calibri" w:hAnsi="Calibri" w:cs="Calibri"/>
          <w:lang w:val="en"/>
        </w:rPr>
        <w:t xml:space="preserve"> (</w:t>
      </w:r>
      <w:proofErr w:type="spellStart"/>
      <w:r>
        <w:rPr>
          <w:rFonts w:ascii="Calibri" w:hAnsi="Calibri" w:cs="Calibri"/>
          <w:lang w:val="en"/>
        </w:rPr>
        <w:t>eds</w:t>
      </w:r>
      <w:proofErr w:type="spellEnd"/>
      <w:r>
        <w:rPr>
          <w:rFonts w:ascii="Calibri" w:hAnsi="Calibri" w:cs="Calibri"/>
          <w:lang w:val="en"/>
        </w:rPr>
        <w:t>) The Oxford Handbook of Criminology. (5th ed.) Oxford: Oxford University Press. 426-448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Pinals</w:t>
      </w:r>
      <w:proofErr w:type="spellEnd"/>
      <w:r>
        <w:rPr>
          <w:rFonts w:ascii="Calibri" w:hAnsi="Calibri" w:cs="Calibri"/>
          <w:lang w:val="en"/>
        </w:rPr>
        <w:t xml:space="preserve">, D.A. (2007) Stalking: Psychiatric Perspectives and Practical Approaches. Oxford: Oxford </w:t>
      </w:r>
      <w:proofErr w:type="spellStart"/>
      <w:r>
        <w:rPr>
          <w:rFonts w:ascii="Calibri" w:hAnsi="Calibri" w:cs="Calibri"/>
          <w:lang w:val="en"/>
        </w:rPr>
        <w:t>Universoty</w:t>
      </w:r>
      <w:proofErr w:type="spellEnd"/>
      <w:r>
        <w:rPr>
          <w:rFonts w:ascii="Calibri" w:hAnsi="Calibri" w:cs="Calibri"/>
          <w:lang w:val="en"/>
        </w:rPr>
        <w:t xml:space="preserve"> Press.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Prins</w:t>
      </w:r>
      <w:proofErr w:type="spellEnd"/>
      <w:r>
        <w:rPr>
          <w:rFonts w:ascii="Calibri" w:hAnsi="Calibri" w:cs="Calibri"/>
          <w:lang w:val="en"/>
        </w:rPr>
        <w:t>, H. (2005). ‘Mental disorder and violent crime: A problematic relationship’. Probation Journal. 52 (4): 333-357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Prins</w:t>
      </w:r>
      <w:proofErr w:type="spellEnd"/>
      <w:r>
        <w:rPr>
          <w:rFonts w:ascii="Calibri" w:hAnsi="Calibri" w:cs="Calibri"/>
          <w:lang w:val="en"/>
        </w:rPr>
        <w:t>, H. (2013) Psychopaths: An Introduction. Hook: Waterside Press.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Taylor, P. and Gunn, J. (1999). ‘Homicides by people with mental illness: myth and reality’ British Journal of Psychiatry. 174: 9-14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bookmarkStart w:id="0" w:name="_GoBack"/>
      <w:r>
        <w:rPr>
          <w:rFonts w:ascii="Calibri" w:hAnsi="Calibri" w:cs="Calibri"/>
          <w:lang w:val="en"/>
        </w:rPr>
        <w:t>Assessment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Case study (3500 words) assesses learning outcomes 1-4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Assessment: Starting Point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This coursework requires you to focus on one of the following subjects covered within this module.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• Case Study 1: Mental Disorder and Violence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• Case Study 2: Mental Disorder and </w:t>
      </w:r>
      <w:proofErr w:type="spellStart"/>
      <w:r>
        <w:rPr>
          <w:rFonts w:ascii="Calibri" w:hAnsi="Calibri" w:cs="Calibri"/>
          <w:lang w:val="en"/>
        </w:rPr>
        <w:t>Victimisation</w:t>
      </w:r>
      <w:proofErr w:type="spellEnd"/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• Case Study 3: Mental Disorder in the Media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After selecting one of these 3 subjects, you then need to identify a narrow focus for your assignment and draw on a specific case example to highlight points throughout your paper.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For example: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Case Study 3: Mental Disorder in the Media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Your Focus: ‘Mental disorder in screen fiction’ Case Study: The </w:t>
      </w:r>
      <w:proofErr w:type="spellStart"/>
      <w:r>
        <w:rPr>
          <w:rFonts w:ascii="Calibri" w:hAnsi="Calibri" w:cs="Calibri"/>
          <w:lang w:val="en"/>
        </w:rPr>
        <w:t>Babadook</w:t>
      </w:r>
      <w:proofErr w:type="spellEnd"/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In this example, you would need to gather and </w:t>
      </w:r>
      <w:proofErr w:type="spellStart"/>
      <w:r>
        <w:rPr>
          <w:rFonts w:ascii="Calibri" w:hAnsi="Calibri" w:cs="Calibri"/>
          <w:lang w:val="en"/>
        </w:rPr>
        <w:t>analyse</w:t>
      </w:r>
      <w:proofErr w:type="spellEnd"/>
      <w:r>
        <w:rPr>
          <w:rFonts w:ascii="Calibri" w:hAnsi="Calibri" w:cs="Calibri"/>
          <w:lang w:val="en"/>
        </w:rPr>
        <w:t xml:space="preserve"> literature on the representations of mental disorder in screen fiction (i.e. movies, television drama, </w:t>
      </w:r>
      <w:proofErr w:type="spellStart"/>
      <w:r>
        <w:rPr>
          <w:rFonts w:ascii="Calibri" w:hAnsi="Calibri" w:cs="Calibri"/>
          <w:lang w:val="en"/>
        </w:rPr>
        <w:t>etc</w:t>
      </w:r>
      <w:proofErr w:type="spellEnd"/>
      <w:r>
        <w:rPr>
          <w:rFonts w:ascii="Calibri" w:hAnsi="Calibri" w:cs="Calibri"/>
          <w:lang w:val="en"/>
        </w:rPr>
        <w:t xml:space="preserve">) and relate this literature to excerpts from the film, The </w:t>
      </w:r>
      <w:proofErr w:type="spellStart"/>
      <w:r>
        <w:rPr>
          <w:rFonts w:ascii="Calibri" w:hAnsi="Calibri" w:cs="Calibri"/>
          <w:lang w:val="en"/>
        </w:rPr>
        <w:t>Babadook</w:t>
      </w:r>
      <w:proofErr w:type="spellEnd"/>
      <w:r>
        <w:rPr>
          <w:rFonts w:ascii="Calibri" w:hAnsi="Calibri" w:cs="Calibri"/>
          <w:lang w:val="en"/>
        </w:rPr>
        <w:t>.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template for each of the three case studies can be found on Moodle, with some direction for structure.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General Coursework Advice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1. It may sound obvious – but take note of your past feedback and address the areas that you need to improve upon.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2. Read books and read journal papers. The quality of your work is completely dependent on the quality of your evidence.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3. Plan your work with a draft outline. You should know the structure and layout of your essay before you start writing it properly. This will help ensure that your work flows and has a clear, logical structure.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4. Meet with the module leader to show your draft outline. A ten-minute discussion could save you hours of wasted time writing about the wrong thing.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5. Don't forget to include case examples (and reference them properly)!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6. Use Harvard referencing. This is level 3 and there are no excuses to get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this wrong. Download the guide, use it, or throw away valuable marks.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7. Proof read before you submit. Errors in spelling, grammar and sentence structure should not be present, especially at level 3. Poorly presented work does not attain high marks.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8. Develop a sharp focus for your answer – you cannot cover everything in 3500 words. Be specific about this focus in your introduction.</w:t>
      </w:r>
    </w:p>
    <w:p w:rsidR="00F22C4F" w:rsidRDefault="00F22C4F" w:rsidP="00F22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9. Pay attention to the split in word count for each section. Roughly speaking, your introduction and conclusion should be about 150-200 words in this instance</w:t>
      </w:r>
    </w:p>
    <w:bookmarkEnd w:id="0"/>
    <w:p w:rsidR="00ED40EB" w:rsidRDefault="00ED40EB"/>
    <w:sectPr w:rsidR="00ED40EB" w:rsidSect="00D0417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4F"/>
    <w:rsid w:val="00765D53"/>
    <w:rsid w:val="00ED40EB"/>
    <w:rsid w:val="00F2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8B4A8-D2F8-429C-9D28-6BD75AAB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</cp:revision>
  <dcterms:created xsi:type="dcterms:W3CDTF">2020-07-31T12:41:00Z</dcterms:created>
  <dcterms:modified xsi:type="dcterms:W3CDTF">2020-07-31T13:11:00Z</dcterms:modified>
</cp:coreProperties>
</file>