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87" w:rsidRDefault="00CE3770">
      <w:r>
        <w:rPr>
          <w:rFonts w:ascii="Arial" w:hAnsi="Arial" w:cs="Arial"/>
          <w:color w:val="333333"/>
          <w:shd w:val="clear" w:color="auto" w:fill="FFFFFF"/>
        </w:rPr>
        <w:t>After re-reading the chapters and conducting additional research, you should be able to list the advantages of switching to IPv6, including the benefits of auto-configuration, better traffic prioritization and delivery assurance, better inherent security, and a virtually endless supply of IP addresses. On the other hand, transitioning to IPv6 is not always seamless. Therefore, in 750-1,000 words, address the following: What is the network's supportability with both IPv4 and IPv6 during its transition? How will you ensure that all of the network's applications and TCP/IP services also support IPv6? How will you coordinate with other organizations with which the networks connected to determine how to handle their IPv4 or IPv6 traffic? How will you devise a new addressing approach for the network? How will you address networking hardware compatibility and addressing? How will you address outward-facing application compatibility and addressing?</w:t>
      </w:r>
      <w:bookmarkStart w:id="0" w:name="_GoBack"/>
      <w:bookmarkEnd w:id="0"/>
    </w:p>
    <w:sectPr w:rsidR="0062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70"/>
    <w:rsid w:val="00621187"/>
    <w:rsid w:val="00C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A3653-67D9-412B-9064-255EA9B0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2020-07-11T07:17:00Z</dcterms:created>
  <dcterms:modified xsi:type="dcterms:W3CDTF">2020-07-11T07:17:00Z</dcterms:modified>
</cp:coreProperties>
</file>