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5E6CB" w14:textId="4726BB68" w:rsidR="00271F17" w:rsidRPr="00C619B0" w:rsidRDefault="00271F17" w:rsidP="00C619B0">
      <w:pPr>
        <w:spacing w:line="480" w:lineRule="auto"/>
        <w:rPr>
          <w:rFonts w:ascii="Times New Roman" w:hAnsi="Times New Roman" w:cs="Times New Roman"/>
          <w:b/>
          <w:sz w:val="24"/>
          <w:szCs w:val="24"/>
        </w:rPr>
      </w:pPr>
      <w:r w:rsidRPr="00271F17">
        <w:rPr>
          <w:rFonts w:ascii="Times New Roman" w:hAnsi="Times New Roman" w:cs="Times New Roman"/>
          <w:b/>
          <w:sz w:val="24"/>
          <w:szCs w:val="24"/>
        </w:rPr>
        <w:t>Antebellum Era</w:t>
      </w:r>
    </w:p>
    <w:p w14:paraId="4B83BD8E" w14:textId="77777777" w:rsidR="00FB754F" w:rsidRDefault="00271F17" w:rsidP="00FB754F">
      <w:pPr>
        <w:pStyle w:val="NormalWeb"/>
        <w:spacing w:before="0" w:beforeAutospacing="0" w:after="0" w:afterAutospacing="0" w:line="480" w:lineRule="auto"/>
        <w:rPr>
          <w:color w:val="0E101A"/>
        </w:rPr>
      </w:pPr>
      <w:r>
        <w:tab/>
      </w:r>
      <w:bookmarkStart w:id="0" w:name="_GoBack"/>
      <w:r w:rsidR="00FB754F">
        <w:rPr>
          <w:color w:val="0E101A"/>
        </w:rPr>
        <w:t>The Antebellum era in American record usually is well thought-out to be the phase before the civil conflict and after the warfare of 1812. It got illustrated to increase the elimination and the slow division of the state among abolitionists and cohorts of slavery. Throughout this similar moment, the nation’s financial system started to change in the North to mechanize as the manufacturing rebellion commenced</w:t>
      </w:r>
      <w:r w:rsidR="00303F5B" w:rsidRPr="00303F5B">
        <w:rPr>
          <w:color w:val="222222"/>
          <w:shd w:val="clear" w:color="auto" w:fill="FFFFFF"/>
        </w:rPr>
        <w:t xml:space="preserve"> </w:t>
      </w:r>
      <w:r w:rsidR="00303F5B">
        <w:rPr>
          <w:color w:val="222222"/>
          <w:shd w:val="clear" w:color="auto" w:fill="FFFFFF"/>
        </w:rPr>
        <w:t>(</w:t>
      </w:r>
      <w:r w:rsidR="00303F5B" w:rsidRPr="00303F5B">
        <w:rPr>
          <w:color w:val="222222"/>
          <w:shd w:val="clear" w:color="auto" w:fill="FFFFFF"/>
        </w:rPr>
        <w:t>Barnes</w:t>
      </w:r>
      <w:r w:rsidR="00303F5B">
        <w:rPr>
          <w:color w:val="222222"/>
          <w:shd w:val="clear" w:color="auto" w:fill="FFFFFF"/>
        </w:rPr>
        <w:t xml:space="preserve"> et al. 2019)</w:t>
      </w:r>
      <w:r w:rsidR="00FB754F">
        <w:rPr>
          <w:color w:val="0E101A"/>
        </w:rPr>
        <w:t>. However, in the South, a cotton boom prepared agricultural estates the hub of wealth. Consequently, the paper will mainly deliberate on the regional monetary discrepancy: industry versus agriculture and voting of 1860.</w:t>
      </w:r>
    </w:p>
    <w:p w14:paraId="180BD930" w14:textId="77777777" w:rsidR="00FB754F" w:rsidRDefault="00FB754F" w:rsidP="00FB754F">
      <w:pPr>
        <w:pStyle w:val="NormalWeb"/>
        <w:spacing w:before="0" w:beforeAutospacing="0" w:after="0" w:afterAutospacing="0" w:line="480" w:lineRule="auto"/>
        <w:jc w:val="center"/>
        <w:rPr>
          <w:color w:val="0E101A"/>
        </w:rPr>
      </w:pPr>
      <w:r>
        <w:rPr>
          <w:rStyle w:val="Strong"/>
          <w:color w:val="0E101A"/>
        </w:rPr>
        <w:t>Regional Economic Differences: Industry versus Agriculture</w:t>
      </w:r>
    </w:p>
    <w:p w14:paraId="1997CFCC" w14:textId="77777777" w:rsidR="00492987" w:rsidRDefault="00FB754F" w:rsidP="00492987">
      <w:pPr>
        <w:pStyle w:val="NormalWeb"/>
        <w:spacing w:before="0" w:beforeAutospacing="0" w:after="0" w:afterAutospacing="0" w:line="480" w:lineRule="auto"/>
        <w:rPr>
          <w:color w:val="0E101A"/>
        </w:rPr>
      </w:pPr>
      <w:r>
        <w:rPr>
          <w:color w:val="0E101A"/>
        </w:rPr>
        <w:t>           The northern soil and weather privileged minor farmsteads moderately than big agricultural estates. The industry thrived, fueled with more plentiful natural possessions than in the South, and several essential cities were created. Through 1860, one section of the entire Northerners existed in-town neighborhoods. However, between the years 1800 and 1860, the proportion of manual workers functioning in agricultural expeditions decreased severely from 72% to merely 39%. Slavery had expired out, reinstated in the urban and industrial units through settler employment from Europe</w:t>
      </w:r>
      <w:r w:rsidR="00303F5B" w:rsidRPr="00303F5B">
        <w:rPr>
          <w:color w:val="222222"/>
          <w:shd w:val="clear" w:color="auto" w:fill="FFFFFF"/>
        </w:rPr>
        <w:t xml:space="preserve"> </w:t>
      </w:r>
      <w:r w:rsidR="00303F5B">
        <w:rPr>
          <w:color w:val="222222"/>
          <w:shd w:val="clear" w:color="auto" w:fill="FFFFFF"/>
        </w:rPr>
        <w:t>(</w:t>
      </w:r>
      <w:r w:rsidR="00303F5B" w:rsidRPr="00303F5B">
        <w:rPr>
          <w:color w:val="222222"/>
          <w:shd w:val="clear" w:color="auto" w:fill="FFFFFF"/>
        </w:rPr>
        <w:t>Lagakos</w:t>
      </w:r>
      <w:r w:rsidR="00303F5B">
        <w:rPr>
          <w:color w:val="222222"/>
          <w:shd w:val="clear" w:color="auto" w:fill="FFFFFF"/>
        </w:rPr>
        <w:t xml:space="preserve"> et al., 2013)</w:t>
      </w:r>
      <w:r>
        <w:rPr>
          <w:color w:val="0E101A"/>
        </w:rPr>
        <w:t xml:space="preserve">. A devastating mainstream of refugees, six out of every seven, was established in the North relatively more than in the South. </w:t>
      </w:r>
      <w:r w:rsidR="00D76D07">
        <w:rPr>
          <w:color w:val="0E101A"/>
        </w:rPr>
        <w:t>Moving</w:t>
      </w:r>
      <w:r>
        <w:rPr>
          <w:color w:val="0E101A"/>
        </w:rPr>
        <w:t xml:space="preserve"> was more comfortable in the North</w:t>
      </w:r>
      <w:r w:rsidR="00D76D07">
        <w:rPr>
          <w:color w:val="0E101A"/>
        </w:rPr>
        <w:t>ern part</w:t>
      </w:r>
      <w:r>
        <w:rPr>
          <w:color w:val="0E101A"/>
        </w:rPr>
        <w:t>, which enhanced further than two-thirds of the railroad trails in the nation, and the financial system was on an upswing.</w:t>
      </w:r>
    </w:p>
    <w:bookmarkEnd w:id="0"/>
    <w:p w14:paraId="700B71EA" w14:textId="77777777" w:rsidR="00966035" w:rsidRPr="00966035" w:rsidRDefault="00492987" w:rsidP="00966035">
      <w:pPr>
        <w:pStyle w:val="NormalWeb"/>
        <w:spacing w:after="0" w:line="480" w:lineRule="auto"/>
        <w:rPr>
          <w:color w:val="0E101A"/>
        </w:rPr>
      </w:pPr>
      <w:r>
        <w:rPr>
          <w:color w:val="0E101A"/>
        </w:rPr>
        <w:tab/>
      </w:r>
      <w:r w:rsidR="00966035" w:rsidRPr="00966035">
        <w:rPr>
          <w:color w:val="0E101A"/>
        </w:rPr>
        <w:t xml:space="preserve">The productive soil and moderate weather of the South </w:t>
      </w:r>
      <w:r w:rsidR="00D76D07" w:rsidRPr="00966035">
        <w:rPr>
          <w:color w:val="0E101A"/>
        </w:rPr>
        <w:t>completed</w:t>
      </w:r>
      <w:r w:rsidR="00966035" w:rsidRPr="00966035">
        <w:rPr>
          <w:color w:val="0E101A"/>
        </w:rPr>
        <w:t xml:space="preserve"> it </w:t>
      </w:r>
      <w:r w:rsidR="00D76D07" w:rsidRPr="00966035">
        <w:rPr>
          <w:color w:val="0E101A"/>
        </w:rPr>
        <w:t>faultless</w:t>
      </w:r>
      <w:r w:rsidR="00966035" w:rsidRPr="00966035">
        <w:rPr>
          <w:color w:val="0E101A"/>
        </w:rPr>
        <w:t xml:space="preserve"> for substantial size farms and </w:t>
      </w:r>
      <w:r w:rsidR="00D76D07">
        <w:rPr>
          <w:color w:val="0E101A"/>
        </w:rPr>
        <w:t>harvest</w:t>
      </w:r>
      <w:r w:rsidR="00966035" w:rsidRPr="00966035">
        <w:rPr>
          <w:color w:val="0E101A"/>
        </w:rPr>
        <w:t xml:space="preserve"> </w:t>
      </w:r>
      <w:r w:rsidR="00D76D07" w:rsidRPr="00966035">
        <w:rPr>
          <w:color w:val="0E101A"/>
        </w:rPr>
        <w:t>reminiscent of</w:t>
      </w:r>
      <w:r w:rsidR="00966035" w:rsidRPr="00966035">
        <w:rPr>
          <w:color w:val="0E101A"/>
        </w:rPr>
        <w:t xml:space="preserve"> cotton</w:t>
      </w:r>
      <w:r w:rsidR="00D76D07" w:rsidRPr="00D76D07">
        <w:rPr>
          <w:color w:val="0E101A"/>
        </w:rPr>
        <w:t xml:space="preserve"> </w:t>
      </w:r>
      <w:r w:rsidR="00D76D07">
        <w:rPr>
          <w:color w:val="0E101A"/>
        </w:rPr>
        <w:t xml:space="preserve">and </w:t>
      </w:r>
      <w:r w:rsidR="00D76D07" w:rsidRPr="00966035">
        <w:rPr>
          <w:color w:val="0E101A"/>
        </w:rPr>
        <w:t>tobacco</w:t>
      </w:r>
      <w:r w:rsidR="00966035" w:rsidRPr="00966035">
        <w:rPr>
          <w:color w:val="0E101A"/>
        </w:rPr>
        <w:t xml:space="preserve">. As a result, farming was so advantageous; however, a small number of Southerners saw a want for manufacturing </w:t>
      </w:r>
      <w:r w:rsidR="00966035" w:rsidRPr="00966035">
        <w:rPr>
          <w:color w:val="0E101A"/>
        </w:rPr>
        <w:lastRenderedPageBreak/>
        <w:t xml:space="preserve">establishment. For instance, seventy per cent of the workforce toiled on the farm. Though one-thirds of Southerners possessed no slaves at all, in 1860 the South's strange </w:t>
      </w:r>
      <w:r w:rsidR="00D76D07" w:rsidRPr="00966035">
        <w:rPr>
          <w:color w:val="0E101A"/>
        </w:rPr>
        <w:t>association</w:t>
      </w:r>
      <w:r w:rsidR="00966035" w:rsidRPr="00966035">
        <w:rPr>
          <w:color w:val="0E101A"/>
        </w:rPr>
        <w:t xml:space="preserve"> was wholly united to the region's wealth </w:t>
      </w:r>
      <w:r w:rsidR="00D76D07" w:rsidRPr="00966035">
        <w:rPr>
          <w:color w:val="0E101A"/>
        </w:rPr>
        <w:t>as well as</w:t>
      </w:r>
      <w:r w:rsidR="00966035" w:rsidRPr="00966035">
        <w:rPr>
          <w:color w:val="0E101A"/>
        </w:rPr>
        <w:t xml:space="preserve"> civilization</w:t>
      </w:r>
      <w:r w:rsidR="00303F5B" w:rsidRPr="00303F5B">
        <w:rPr>
          <w:color w:val="222222"/>
          <w:shd w:val="clear" w:color="auto" w:fill="FFFFFF"/>
        </w:rPr>
        <w:t xml:space="preserve"> </w:t>
      </w:r>
      <w:r w:rsidR="00D55F81">
        <w:rPr>
          <w:color w:val="222222"/>
          <w:shd w:val="clear" w:color="auto" w:fill="FFFFFF"/>
        </w:rPr>
        <w:t>(</w:t>
      </w:r>
      <w:r w:rsidR="00303F5B" w:rsidRPr="00303F5B">
        <w:rPr>
          <w:color w:val="222222"/>
          <w:shd w:val="clear" w:color="auto" w:fill="FFFFFF"/>
        </w:rPr>
        <w:t>Woodward</w:t>
      </w:r>
      <w:r w:rsidR="00303F5B">
        <w:rPr>
          <w:color w:val="222222"/>
          <w:shd w:val="clear" w:color="auto" w:fill="FFFFFF"/>
        </w:rPr>
        <w:t>, 2011)</w:t>
      </w:r>
      <w:r w:rsidR="00966035" w:rsidRPr="00966035">
        <w:rPr>
          <w:color w:val="0E101A"/>
        </w:rPr>
        <w:t>. There were approximate as se</w:t>
      </w:r>
      <w:r w:rsidR="00C755DF">
        <w:rPr>
          <w:color w:val="0E101A"/>
        </w:rPr>
        <w:t>veral Africans</w:t>
      </w:r>
      <w:r w:rsidR="00966035" w:rsidRPr="00966035">
        <w:rPr>
          <w:color w:val="0E101A"/>
        </w:rPr>
        <w:t xml:space="preserve">; </w:t>
      </w:r>
      <w:r w:rsidR="00C755DF" w:rsidRPr="00966035">
        <w:rPr>
          <w:color w:val="0E101A"/>
        </w:rPr>
        <w:t>conversely</w:t>
      </w:r>
      <w:r w:rsidR="00C755DF">
        <w:rPr>
          <w:color w:val="0E101A"/>
        </w:rPr>
        <w:t>, manual laborers</w:t>
      </w:r>
      <w:r w:rsidR="00966035" w:rsidRPr="00966035">
        <w:rPr>
          <w:color w:val="0E101A"/>
        </w:rPr>
        <w:t xml:space="preserve"> were liberated in the South</w:t>
      </w:r>
      <w:r w:rsidR="00C755DF">
        <w:rPr>
          <w:color w:val="0E101A"/>
        </w:rPr>
        <w:t>ern region</w:t>
      </w:r>
      <w:r w:rsidR="00966035" w:rsidRPr="00966035">
        <w:rPr>
          <w:color w:val="0E101A"/>
        </w:rPr>
        <w:t xml:space="preserve"> as whites were present. There were no big towns sideways from New Orleans, and the majority of the ones that did survive were positioned on waterways and shorelines as ship harbors to propel farming fabricate to European or Northern destinations.</w:t>
      </w:r>
    </w:p>
    <w:p w14:paraId="021E0FAE" w14:textId="77777777" w:rsidR="005F4538" w:rsidRDefault="00966035" w:rsidP="005F4538">
      <w:pPr>
        <w:pStyle w:val="NormalWeb"/>
        <w:spacing w:after="0" w:line="480" w:lineRule="auto"/>
        <w:rPr>
          <w:color w:val="0E101A"/>
        </w:rPr>
      </w:pPr>
      <w:r w:rsidRPr="00966035">
        <w:rPr>
          <w:color w:val="0E101A"/>
        </w:rPr>
        <w:t xml:space="preserve">           Besides, just two-tenth of Southerners existed in urban neighborhoods, and moving among towns was hard, except through water. Ho</w:t>
      </w:r>
      <w:r w:rsidR="00C755DF">
        <w:rPr>
          <w:color w:val="0E101A"/>
        </w:rPr>
        <w:t>wever, simply 40% of the nation's transit vehicles</w:t>
      </w:r>
      <w:r w:rsidRPr="00966035">
        <w:rPr>
          <w:color w:val="0E101A"/>
        </w:rPr>
        <w:t xml:space="preserve"> were </w:t>
      </w:r>
      <w:r w:rsidR="00C755DF" w:rsidRPr="00966035">
        <w:rPr>
          <w:color w:val="0E101A"/>
        </w:rPr>
        <w:t>positioned</w:t>
      </w:r>
      <w:r w:rsidRPr="00966035">
        <w:rPr>
          <w:color w:val="0E101A"/>
        </w:rPr>
        <w:t xml:space="preserve"> in the South</w:t>
      </w:r>
      <w:r w:rsidR="00C755DF">
        <w:rPr>
          <w:color w:val="0E101A"/>
        </w:rPr>
        <w:t>ern area</w:t>
      </w:r>
      <w:r w:rsidR="00303F5B" w:rsidRPr="00303F5B">
        <w:rPr>
          <w:color w:val="222222"/>
          <w:shd w:val="clear" w:color="auto" w:fill="FFFFFF"/>
        </w:rPr>
        <w:t xml:space="preserve"> </w:t>
      </w:r>
      <w:r w:rsidR="00303F5B">
        <w:rPr>
          <w:color w:val="222222"/>
          <w:shd w:val="clear" w:color="auto" w:fill="FFFFFF"/>
        </w:rPr>
        <w:t>(</w:t>
      </w:r>
      <w:r w:rsidR="00303F5B" w:rsidRPr="00303F5B">
        <w:rPr>
          <w:color w:val="222222"/>
          <w:shd w:val="clear" w:color="auto" w:fill="FFFFFF"/>
        </w:rPr>
        <w:t>Zehetmayer</w:t>
      </w:r>
      <w:r w:rsidR="00303F5B">
        <w:rPr>
          <w:color w:val="222222"/>
          <w:shd w:val="clear" w:color="auto" w:fill="FFFFFF"/>
        </w:rPr>
        <w:t>, 2011)</w:t>
      </w:r>
      <w:r w:rsidRPr="00966035">
        <w:rPr>
          <w:color w:val="0E101A"/>
        </w:rPr>
        <w:t>. Besid</w:t>
      </w:r>
      <w:r w:rsidR="00C755DF">
        <w:rPr>
          <w:color w:val="0E101A"/>
        </w:rPr>
        <w:t>es, in 1860, the South's cultivation</w:t>
      </w:r>
      <w:r w:rsidRPr="00966035">
        <w:rPr>
          <w:color w:val="0E101A"/>
        </w:rPr>
        <w:t xml:space="preserve"> c</w:t>
      </w:r>
      <w:r w:rsidR="00C755DF">
        <w:rPr>
          <w:color w:val="0E101A"/>
        </w:rPr>
        <w:t>ost-cutting measure was commencing</w:t>
      </w:r>
      <w:r w:rsidRPr="00966035">
        <w:rPr>
          <w:color w:val="0E101A"/>
        </w:rPr>
        <w:t xml:space="preserve"> to come to a standstill, whereas the Northern </w:t>
      </w:r>
      <w:r w:rsidR="00C755DF" w:rsidRPr="00966035">
        <w:rPr>
          <w:color w:val="0E101A"/>
        </w:rPr>
        <w:t>manufacturer</w:t>
      </w:r>
      <w:r w:rsidR="00C755DF">
        <w:rPr>
          <w:color w:val="0E101A"/>
        </w:rPr>
        <w:t>s</w:t>
      </w:r>
      <w:r w:rsidRPr="00966035">
        <w:rPr>
          <w:color w:val="0E101A"/>
        </w:rPr>
        <w:t xml:space="preserve"> were receiving a boom. A somewhat lesser profit of white </w:t>
      </w:r>
      <w:r w:rsidR="00C755DF">
        <w:rPr>
          <w:color w:val="0E101A"/>
        </w:rPr>
        <w:t>from South</w:t>
      </w:r>
      <w:r w:rsidRPr="00966035">
        <w:rPr>
          <w:color w:val="0E101A"/>
        </w:rPr>
        <w:t xml:space="preserve"> </w:t>
      </w:r>
      <w:r w:rsidR="00C755DF">
        <w:rPr>
          <w:color w:val="0E101A"/>
        </w:rPr>
        <w:t>was well-read than their</w:t>
      </w:r>
      <w:r w:rsidRPr="00966035">
        <w:rPr>
          <w:color w:val="0E101A"/>
        </w:rPr>
        <w:t xml:space="preserve"> equals</w:t>
      </w:r>
      <w:r w:rsidR="00C755DF">
        <w:rPr>
          <w:color w:val="0E101A"/>
        </w:rPr>
        <w:t xml:space="preserve"> from the north, and</w:t>
      </w:r>
      <w:r w:rsidRPr="00966035">
        <w:rPr>
          <w:color w:val="0E101A"/>
        </w:rPr>
        <w:t xml:space="preserve"> kids </w:t>
      </w:r>
      <w:r w:rsidR="00C755DF">
        <w:rPr>
          <w:color w:val="0E101A"/>
        </w:rPr>
        <w:t xml:space="preserve">from south </w:t>
      </w:r>
      <w:r w:rsidRPr="00966035">
        <w:rPr>
          <w:color w:val="0E101A"/>
        </w:rPr>
        <w:t>inclined to squander fewe</w:t>
      </w:r>
      <w:r w:rsidR="00C755DF">
        <w:rPr>
          <w:color w:val="0E101A"/>
        </w:rPr>
        <w:t>r moment in the learning institution. As matured,</w:t>
      </w:r>
      <w:r w:rsidRPr="00966035">
        <w:rPr>
          <w:color w:val="0E101A"/>
        </w:rPr>
        <w:t xml:space="preserve"> gentleman </w:t>
      </w:r>
      <w:r w:rsidR="00C755DF">
        <w:rPr>
          <w:color w:val="0E101A"/>
        </w:rPr>
        <w:t xml:space="preserve">in the south </w:t>
      </w:r>
      <w:r w:rsidRPr="00966035">
        <w:rPr>
          <w:color w:val="0E101A"/>
        </w:rPr>
        <w:t>leaned to fit into the Democratic political party and descended to armed forces professions as well as crop growing.</w:t>
      </w:r>
    </w:p>
    <w:p w14:paraId="564C2874" w14:textId="77777777" w:rsidR="00D653B7" w:rsidRPr="005F4538" w:rsidRDefault="00D653B7" w:rsidP="005F4538">
      <w:pPr>
        <w:pStyle w:val="NormalWeb"/>
        <w:spacing w:line="480" w:lineRule="auto"/>
        <w:jc w:val="center"/>
        <w:rPr>
          <w:color w:val="0E101A"/>
        </w:rPr>
      </w:pPr>
      <w:r w:rsidRPr="00D653B7">
        <w:rPr>
          <w:b/>
          <w:color w:val="0E101A"/>
        </w:rPr>
        <w:t>The Election 1860</w:t>
      </w:r>
    </w:p>
    <w:p w14:paraId="42B8C45B" w14:textId="77777777" w:rsidR="001A0FBF" w:rsidRDefault="001A0FBF" w:rsidP="001A0FBF">
      <w:pPr>
        <w:pStyle w:val="NormalWeb"/>
        <w:spacing w:after="0" w:line="480" w:lineRule="auto"/>
      </w:pPr>
      <w:r>
        <w:tab/>
        <w:t>The United States presidential election of 1860 positioned the step for American civil warfare. It as well established the profound-placed observations on slavery and states' privileges between the North and South. The nation got divided throughout most of the 1850s on queries of states' constitutional rights and slavery in the boundaries. In 1860, this matter, at last, came to a head, breaking the previously prevailing Democratic Party into Southern and Northern</w:t>
      </w:r>
      <w:r w:rsidR="00303F5B" w:rsidRPr="00303F5B">
        <w:rPr>
          <w:color w:val="222222"/>
          <w:shd w:val="clear" w:color="auto" w:fill="FFFFFF"/>
        </w:rPr>
        <w:t xml:space="preserve"> </w:t>
      </w:r>
      <w:r w:rsidR="00303F5B">
        <w:rPr>
          <w:color w:val="222222"/>
          <w:shd w:val="clear" w:color="auto" w:fill="FFFFFF"/>
        </w:rPr>
        <w:t>(</w:t>
      </w:r>
      <w:r w:rsidR="00303F5B" w:rsidRPr="00303F5B">
        <w:rPr>
          <w:color w:val="222222"/>
          <w:shd w:val="clear" w:color="auto" w:fill="FFFFFF"/>
        </w:rPr>
        <w:t>Kuo</w:t>
      </w:r>
      <w:r w:rsidR="00303F5B">
        <w:rPr>
          <w:color w:val="222222"/>
          <w:shd w:val="clear" w:color="auto" w:fill="FFFFFF"/>
        </w:rPr>
        <w:t xml:space="preserve"> et al., 2017)</w:t>
      </w:r>
      <w:r>
        <w:t>. Grouping and getting Abraham Lincoln and the Republican Party to supremacy devoid of the support of an isolated Southern nation.</w:t>
      </w:r>
    </w:p>
    <w:p w14:paraId="4551BC36" w14:textId="77777777" w:rsidR="001A0FBF" w:rsidRDefault="00251614" w:rsidP="001A0FBF">
      <w:pPr>
        <w:pStyle w:val="NormalWeb"/>
        <w:spacing w:after="0" w:line="480" w:lineRule="auto"/>
      </w:pPr>
      <w:r>
        <w:tab/>
      </w:r>
      <w:r w:rsidR="001A0FBF">
        <w:t>Scarcely further than a month following Lincoln's conquest came pronouncements of secession in South Carolina and additional states were discarded as unlawful through the then existing leader, James Buchanan, and President elected through ballot Abraham Lincoln. In the long run, before Lincoln's inauguration, eleven Southern states had separated from the unification. However, weeks after his inaugural ceremony, the co-conspirator soldiers got passionate about Fort Sumter and commenced the Civil War.</w:t>
      </w:r>
    </w:p>
    <w:p w14:paraId="6BAE45B2" w14:textId="77777777" w:rsidR="00251614" w:rsidRDefault="00251614" w:rsidP="001A0FBF">
      <w:pPr>
        <w:pStyle w:val="NormalWeb"/>
        <w:spacing w:after="0" w:line="480" w:lineRule="auto"/>
      </w:pPr>
    </w:p>
    <w:p w14:paraId="17B4B4F4" w14:textId="77777777" w:rsidR="00251614" w:rsidRDefault="00251614" w:rsidP="001A0FBF">
      <w:pPr>
        <w:pStyle w:val="NormalWeb"/>
        <w:spacing w:after="0" w:line="480" w:lineRule="auto"/>
      </w:pPr>
    </w:p>
    <w:p w14:paraId="0A8EAEB7" w14:textId="77777777" w:rsidR="00251614" w:rsidRDefault="00251614" w:rsidP="001A0FBF">
      <w:pPr>
        <w:pStyle w:val="NormalWeb"/>
        <w:spacing w:after="0" w:line="480" w:lineRule="auto"/>
      </w:pPr>
    </w:p>
    <w:p w14:paraId="1ED14D31" w14:textId="77777777" w:rsidR="00251614" w:rsidRDefault="00251614" w:rsidP="001A0FBF">
      <w:pPr>
        <w:pStyle w:val="NormalWeb"/>
        <w:spacing w:after="0" w:line="480" w:lineRule="auto"/>
      </w:pPr>
    </w:p>
    <w:p w14:paraId="5E8B18CE" w14:textId="77777777" w:rsidR="00251614" w:rsidRDefault="00251614" w:rsidP="001A0FBF">
      <w:pPr>
        <w:pStyle w:val="NormalWeb"/>
        <w:spacing w:after="0" w:line="480" w:lineRule="auto"/>
      </w:pPr>
    </w:p>
    <w:p w14:paraId="19438608" w14:textId="77777777" w:rsidR="00251614" w:rsidRDefault="00251614" w:rsidP="001A0FBF">
      <w:pPr>
        <w:pStyle w:val="NormalWeb"/>
        <w:spacing w:after="0" w:line="480" w:lineRule="auto"/>
      </w:pPr>
    </w:p>
    <w:p w14:paraId="4E79A9A9" w14:textId="77777777" w:rsidR="00251614" w:rsidRDefault="00251614" w:rsidP="001A0FBF">
      <w:pPr>
        <w:pStyle w:val="NormalWeb"/>
        <w:spacing w:after="0" w:line="480" w:lineRule="auto"/>
      </w:pPr>
    </w:p>
    <w:p w14:paraId="2C6EA08C" w14:textId="77777777" w:rsidR="00251614" w:rsidRDefault="00251614" w:rsidP="001A0FBF">
      <w:pPr>
        <w:pStyle w:val="NormalWeb"/>
        <w:spacing w:after="0" w:line="480" w:lineRule="auto"/>
      </w:pPr>
    </w:p>
    <w:p w14:paraId="2B11E0C5" w14:textId="77777777" w:rsidR="00251614" w:rsidRDefault="00251614" w:rsidP="001A0FBF">
      <w:pPr>
        <w:pStyle w:val="NormalWeb"/>
        <w:spacing w:after="0" w:line="480" w:lineRule="auto"/>
      </w:pPr>
    </w:p>
    <w:p w14:paraId="67E8AB19" w14:textId="77777777" w:rsidR="00251614" w:rsidRDefault="00251614" w:rsidP="001A0FBF">
      <w:pPr>
        <w:pStyle w:val="NormalWeb"/>
        <w:spacing w:after="0" w:line="480" w:lineRule="auto"/>
      </w:pPr>
    </w:p>
    <w:p w14:paraId="63F8CD80" w14:textId="77777777" w:rsidR="00251614" w:rsidRDefault="00251614" w:rsidP="001A0FBF">
      <w:pPr>
        <w:pStyle w:val="NormalWeb"/>
        <w:spacing w:after="0" w:line="480" w:lineRule="auto"/>
      </w:pPr>
    </w:p>
    <w:p w14:paraId="5AF08529" w14:textId="77777777" w:rsidR="00251614" w:rsidRDefault="00251614" w:rsidP="00251614">
      <w:pPr>
        <w:pStyle w:val="NormalWeb"/>
        <w:spacing w:after="0" w:line="480" w:lineRule="auto"/>
        <w:jc w:val="center"/>
        <w:rPr>
          <w:b/>
        </w:rPr>
      </w:pPr>
      <w:r w:rsidRPr="00251614">
        <w:rPr>
          <w:b/>
        </w:rPr>
        <w:t>References</w:t>
      </w:r>
    </w:p>
    <w:p w14:paraId="583151AE" w14:textId="77777777" w:rsidR="005C2096" w:rsidRPr="00303F5B" w:rsidRDefault="005C2096" w:rsidP="00303F5B">
      <w:pPr>
        <w:pStyle w:val="NormalWeb"/>
        <w:spacing w:before="0" w:beforeAutospacing="0" w:after="0" w:afterAutospacing="0" w:line="480" w:lineRule="auto"/>
        <w:ind w:left="720" w:hanging="720"/>
        <w:rPr>
          <w:color w:val="222222"/>
          <w:shd w:val="clear" w:color="auto" w:fill="FFFFFF"/>
        </w:rPr>
      </w:pPr>
      <w:r w:rsidRPr="00303F5B">
        <w:rPr>
          <w:color w:val="222222"/>
          <w:shd w:val="clear" w:color="auto" w:fill="FFFFFF"/>
        </w:rPr>
        <w:t>Barnes, A. P., Soto, I., Eory, V., Beck, B., B</w:t>
      </w:r>
      <w:r w:rsidR="00303F5B">
        <w:rPr>
          <w:color w:val="222222"/>
          <w:shd w:val="clear" w:color="auto" w:fill="FFFFFF"/>
        </w:rPr>
        <w:t xml:space="preserve">alafoutis, A., Sánchez, B., </w:t>
      </w:r>
      <w:r w:rsidRPr="00303F5B">
        <w:rPr>
          <w:color w:val="222222"/>
          <w:shd w:val="clear" w:color="auto" w:fill="FFFFFF"/>
        </w:rPr>
        <w:t>&amp; Gómez-Barbero, M. (2019). Exploring the adoption of precision agricultural technologies: A cross regional study of EU farmers. </w:t>
      </w:r>
      <w:r w:rsidRPr="00303F5B">
        <w:rPr>
          <w:i/>
          <w:iCs/>
          <w:color w:val="222222"/>
          <w:shd w:val="clear" w:color="auto" w:fill="FFFFFF"/>
        </w:rPr>
        <w:t>Land use policy</w:t>
      </w:r>
      <w:r w:rsidRPr="00303F5B">
        <w:rPr>
          <w:color w:val="222222"/>
          <w:shd w:val="clear" w:color="auto" w:fill="FFFFFF"/>
        </w:rPr>
        <w:t>, </w:t>
      </w:r>
      <w:r w:rsidRPr="00303F5B">
        <w:rPr>
          <w:i/>
          <w:iCs/>
          <w:color w:val="222222"/>
          <w:shd w:val="clear" w:color="auto" w:fill="FFFFFF"/>
        </w:rPr>
        <w:t>80</w:t>
      </w:r>
      <w:r w:rsidRPr="00303F5B">
        <w:rPr>
          <w:color w:val="222222"/>
          <w:shd w:val="clear" w:color="auto" w:fill="FFFFFF"/>
        </w:rPr>
        <w:t>, 163-174.</w:t>
      </w:r>
    </w:p>
    <w:p w14:paraId="77176D9A" w14:textId="77777777" w:rsidR="00251614" w:rsidRPr="00303F5B" w:rsidRDefault="00251614" w:rsidP="00303F5B">
      <w:pPr>
        <w:pStyle w:val="NormalWeb"/>
        <w:spacing w:before="0" w:beforeAutospacing="0" w:after="0" w:afterAutospacing="0" w:line="480" w:lineRule="auto"/>
        <w:ind w:left="720" w:hanging="720"/>
        <w:rPr>
          <w:color w:val="222222"/>
          <w:shd w:val="clear" w:color="auto" w:fill="FFFFFF"/>
        </w:rPr>
      </w:pPr>
      <w:r w:rsidRPr="00303F5B">
        <w:rPr>
          <w:color w:val="222222"/>
          <w:shd w:val="clear" w:color="auto" w:fill="FFFFFF"/>
        </w:rPr>
        <w:t>Green, J. R., &amp; Kirkwood, P. M. (2015). Reframing the Antebellum Democratic Mainstream: Transatlantic Diplomacy and the Career of Pierre Soulé. </w:t>
      </w:r>
      <w:r w:rsidRPr="00303F5B">
        <w:rPr>
          <w:i/>
          <w:iCs/>
          <w:color w:val="222222"/>
          <w:shd w:val="clear" w:color="auto" w:fill="FFFFFF"/>
        </w:rPr>
        <w:t>Civil War History</w:t>
      </w:r>
      <w:r w:rsidRPr="00303F5B">
        <w:rPr>
          <w:color w:val="222222"/>
          <w:shd w:val="clear" w:color="auto" w:fill="FFFFFF"/>
        </w:rPr>
        <w:t>, </w:t>
      </w:r>
      <w:r w:rsidRPr="00303F5B">
        <w:rPr>
          <w:i/>
          <w:iCs/>
          <w:color w:val="222222"/>
          <w:shd w:val="clear" w:color="auto" w:fill="FFFFFF"/>
        </w:rPr>
        <w:t>61</w:t>
      </w:r>
      <w:r w:rsidRPr="00303F5B">
        <w:rPr>
          <w:color w:val="222222"/>
          <w:shd w:val="clear" w:color="auto" w:fill="FFFFFF"/>
        </w:rPr>
        <w:t>(3), 212-251.</w:t>
      </w:r>
    </w:p>
    <w:p w14:paraId="58D4B4A4" w14:textId="77777777" w:rsidR="00303F5B" w:rsidRPr="00303F5B" w:rsidRDefault="00303F5B" w:rsidP="00303F5B">
      <w:pPr>
        <w:pStyle w:val="NormalWeb"/>
        <w:spacing w:before="0" w:beforeAutospacing="0" w:after="0" w:afterAutospacing="0" w:line="480" w:lineRule="auto"/>
        <w:ind w:left="720" w:hanging="720"/>
        <w:rPr>
          <w:color w:val="222222"/>
          <w:shd w:val="clear" w:color="auto" w:fill="FFFFFF"/>
        </w:rPr>
      </w:pPr>
      <w:r w:rsidRPr="00303F5B">
        <w:rPr>
          <w:color w:val="222222"/>
          <w:shd w:val="clear" w:color="auto" w:fill="FFFFFF"/>
        </w:rPr>
        <w:t>Kuo, D., &amp; Teorell, J. (2017). Illicit tactics as substitutes: Election fraud, ballot reform, and contested Congressional elections in the United States, 1860. </w:t>
      </w:r>
      <w:r w:rsidRPr="00303F5B">
        <w:rPr>
          <w:i/>
          <w:iCs/>
          <w:color w:val="222222"/>
          <w:shd w:val="clear" w:color="auto" w:fill="FFFFFF"/>
        </w:rPr>
        <w:t>Comparative Political Studies</w:t>
      </w:r>
      <w:r w:rsidRPr="00303F5B">
        <w:rPr>
          <w:color w:val="222222"/>
          <w:shd w:val="clear" w:color="auto" w:fill="FFFFFF"/>
        </w:rPr>
        <w:t>, </w:t>
      </w:r>
      <w:r w:rsidRPr="00303F5B">
        <w:rPr>
          <w:i/>
          <w:iCs/>
          <w:color w:val="222222"/>
          <w:shd w:val="clear" w:color="auto" w:fill="FFFFFF"/>
        </w:rPr>
        <w:t>50</w:t>
      </w:r>
      <w:r w:rsidRPr="00303F5B">
        <w:rPr>
          <w:color w:val="222222"/>
          <w:shd w:val="clear" w:color="auto" w:fill="FFFFFF"/>
        </w:rPr>
        <w:t>(5), 665-696.</w:t>
      </w:r>
    </w:p>
    <w:p w14:paraId="7322CF9E" w14:textId="77777777" w:rsidR="005C2096" w:rsidRPr="00303F5B" w:rsidRDefault="005C2096" w:rsidP="00303F5B">
      <w:pPr>
        <w:pStyle w:val="NormalWeb"/>
        <w:spacing w:before="0" w:beforeAutospacing="0" w:after="0" w:afterAutospacing="0" w:line="480" w:lineRule="auto"/>
        <w:ind w:left="720" w:hanging="720"/>
        <w:rPr>
          <w:color w:val="222222"/>
          <w:shd w:val="clear" w:color="auto" w:fill="FFFFFF"/>
        </w:rPr>
      </w:pPr>
      <w:r w:rsidRPr="00303F5B">
        <w:rPr>
          <w:color w:val="222222"/>
          <w:shd w:val="clear" w:color="auto" w:fill="FFFFFF"/>
        </w:rPr>
        <w:t>Lagakos, D., &amp; Waugh, M. E. (2013). Selection, agriculture, and cross-country productivity differences. </w:t>
      </w:r>
      <w:r w:rsidRPr="00303F5B">
        <w:rPr>
          <w:i/>
          <w:iCs/>
          <w:color w:val="222222"/>
          <w:shd w:val="clear" w:color="auto" w:fill="FFFFFF"/>
        </w:rPr>
        <w:t>American Economic Review</w:t>
      </w:r>
      <w:r w:rsidRPr="00303F5B">
        <w:rPr>
          <w:color w:val="222222"/>
          <w:shd w:val="clear" w:color="auto" w:fill="FFFFFF"/>
        </w:rPr>
        <w:t>, </w:t>
      </w:r>
      <w:r w:rsidRPr="00303F5B">
        <w:rPr>
          <w:i/>
          <w:iCs/>
          <w:color w:val="222222"/>
          <w:shd w:val="clear" w:color="auto" w:fill="FFFFFF"/>
        </w:rPr>
        <w:t>103</w:t>
      </w:r>
      <w:r w:rsidRPr="00303F5B">
        <w:rPr>
          <w:color w:val="222222"/>
          <w:shd w:val="clear" w:color="auto" w:fill="FFFFFF"/>
        </w:rPr>
        <w:t>(2), 948-80.</w:t>
      </w:r>
    </w:p>
    <w:p w14:paraId="1983CAA6" w14:textId="77777777" w:rsidR="00251614" w:rsidRPr="00303F5B" w:rsidRDefault="005C2096" w:rsidP="00303F5B">
      <w:pPr>
        <w:pStyle w:val="NormalWeb"/>
        <w:spacing w:before="0" w:beforeAutospacing="0" w:after="0" w:afterAutospacing="0" w:line="480" w:lineRule="auto"/>
        <w:ind w:left="720" w:hanging="720"/>
        <w:rPr>
          <w:color w:val="222222"/>
          <w:shd w:val="clear" w:color="auto" w:fill="FFFFFF"/>
        </w:rPr>
      </w:pPr>
      <w:r w:rsidRPr="00303F5B">
        <w:rPr>
          <w:color w:val="222222"/>
          <w:shd w:val="clear" w:color="auto" w:fill="FFFFFF"/>
        </w:rPr>
        <w:t>Woodward, N. (2011). </w:t>
      </w:r>
      <w:r w:rsidRPr="00303F5B">
        <w:rPr>
          <w:iCs/>
          <w:color w:val="222222"/>
          <w:shd w:val="clear" w:color="auto" w:fill="FFFFFF"/>
        </w:rPr>
        <w:t>Baptists and slavery in frontier Missouri during the antebellum era</w:t>
      </w:r>
      <w:r w:rsidR="00303F5B">
        <w:rPr>
          <w:color w:val="222222"/>
          <w:shd w:val="clear" w:color="auto" w:fill="FFFFFF"/>
        </w:rPr>
        <w:t xml:space="preserve">. </w:t>
      </w:r>
      <w:r w:rsidRPr="00303F5B">
        <w:rPr>
          <w:color w:val="222222"/>
          <w:shd w:val="clear" w:color="auto" w:fill="FFFFFF"/>
        </w:rPr>
        <w:t>Doctoral dissertation, Color</w:t>
      </w:r>
      <w:r w:rsidR="00303F5B">
        <w:rPr>
          <w:color w:val="222222"/>
          <w:shd w:val="clear" w:color="auto" w:fill="FFFFFF"/>
        </w:rPr>
        <w:t>ado State University. Libraries</w:t>
      </w:r>
      <w:r w:rsidRPr="00303F5B">
        <w:rPr>
          <w:color w:val="222222"/>
          <w:shd w:val="clear" w:color="auto" w:fill="FFFFFF"/>
        </w:rPr>
        <w:t>.</w:t>
      </w:r>
    </w:p>
    <w:p w14:paraId="70020BA8" w14:textId="77777777" w:rsidR="005C2096" w:rsidRPr="00303F5B" w:rsidRDefault="005C2096" w:rsidP="00303F5B">
      <w:pPr>
        <w:pStyle w:val="NormalWeb"/>
        <w:spacing w:before="0" w:beforeAutospacing="0" w:after="0" w:afterAutospacing="0" w:line="480" w:lineRule="auto"/>
        <w:ind w:left="720" w:hanging="720"/>
      </w:pPr>
      <w:r w:rsidRPr="00303F5B">
        <w:rPr>
          <w:color w:val="222222"/>
          <w:shd w:val="clear" w:color="auto" w:fill="FFFFFF"/>
        </w:rPr>
        <w:t>Zehetmayer, M. (2011). The continuation of the antebellum puzzle: stature in the US, 1847–1894. </w:t>
      </w:r>
      <w:r w:rsidRPr="00303F5B">
        <w:rPr>
          <w:i/>
          <w:iCs/>
          <w:color w:val="222222"/>
          <w:shd w:val="clear" w:color="auto" w:fill="FFFFFF"/>
        </w:rPr>
        <w:t>European Review of Economic History</w:t>
      </w:r>
      <w:r w:rsidRPr="00303F5B">
        <w:rPr>
          <w:color w:val="222222"/>
          <w:shd w:val="clear" w:color="auto" w:fill="FFFFFF"/>
        </w:rPr>
        <w:t>, </w:t>
      </w:r>
      <w:r w:rsidRPr="00303F5B">
        <w:rPr>
          <w:i/>
          <w:iCs/>
          <w:color w:val="222222"/>
          <w:shd w:val="clear" w:color="auto" w:fill="FFFFFF"/>
        </w:rPr>
        <w:t>15</w:t>
      </w:r>
      <w:r w:rsidRPr="00303F5B">
        <w:rPr>
          <w:color w:val="222222"/>
          <w:shd w:val="clear" w:color="auto" w:fill="FFFFFF"/>
        </w:rPr>
        <w:t>(2), 313-327.</w:t>
      </w:r>
    </w:p>
    <w:p w14:paraId="19862591" w14:textId="77777777" w:rsidR="001A0FBF" w:rsidRDefault="001A0FBF" w:rsidP="001A0FBF">
      <w:pPr>
        <w:pStyle w:val="NormalWeb"/>
        <w:spacing w:after="0" w:line="480" w:lineRule="auto"/>
      </w:pPr>
      <w:r>
        <w:t xml:space="preserve">                                                                            </w:t>
      </w:r>
    </w:p>
    <w:p w14:paraId="4A5BF721" w14:textId="77777777" w:rsidR="00492987" w:rsidRDefault="00492987" w:rsidP="00303F5B">
      <w:pPr>
        <w:pStyle w:val="NormalWeb"/>
        <w:spacing w:before="0" w:beforeAutospacing="0" w:after="0" w:afterAutospacing="0" w:line="480" w:lineRule="auto"/>
        <w:jc w:val="center"/>
      </w:pPr>
    </w:p>
    <w:p w14:paraId="70D8503F" w14:textId="1779499F" w:rsidR="00973D44" w:rsidRDefault="00492987" w:rsidP="00303F5B">
      <w:pPr>
        <w:pStyle w:val="NormalWeb"/>
        <w:shd w:val="clear" w:color="auto" w:fill="FFFFFF"/>
        <w:spacing w:after="225"/>
      </w:pPr>
      <w:r>
        <w:t xml:space="preserve">                                                                                          </w:t>
      </w:r>
      <w:r w:rsidR="00303F5B">
        <w:t xml:space="preserve">                           </w:t>
      </w:r>
    </w:p>
    <w:sectPr w:rsidR="00973D44" w:rsidSect="00564A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9D5E" w14:textId="77777777" w:rsidR="00C6320B" w:rsidRDefault="00C6320B" w:rsidP="00FD5AEA">
      <w:pPr>
        <w:spacing w:after="0" w:line="240" w:lineRule="auto"/>
      </w:pPr>
      <w:r>
        <w:separator/>
      </w:r>
    </w:p>
  </w:endnote>
  <w:endnote w:type="continuationSeparator" w:id="0">
    <w:p w14:paraId="094B0531" w14:textId="77777777" w:rsidR="00C6320B" w:rsidRDefault="00C6320B" w:rsidP="00FD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D4602" w14:textId="77777777" w:rsidR="00C6320B" w:rsidRDefault="00C6320B" w:rsidP="00FD5AEA">
      <w:pPr>
        <w:spacing w:after="0" w:line="240" w:lineRule="auto"/>
      </w:pPr>
      <w:r>
        <w:separator/>
      </w:r>
    </w:p>
  </w:footnote>
  <w:footnote w:type="continuationSeparator" w:id="0">
    <w:p w14:paraId="198FEBB6" w14:textId="77777777" w:rsidR="00C6320B" w:rsidRDefault="00C6320B" w:rsidP="00FD5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27924"/>
      <w:docPartObj>
        <w:docPartGallery w:val="Page Numbers (Top of Page)"/>
        <w:docPartUnique/>
      </w:docPartObj>
    </w:sdtPr>
    <w:sdtEndPr>
      <w:rPr>
        <w:rFonts w:ascii="Times New Roman" w:hAnsi="Times New Roman" w:cs="Times New Roman"/>
        <w:sz w:val="24"/>
        <w:szCs w:val="24"/>
      </w:rPr>
    </w:sdtEndPr>
    <w:sdtContent>
      <w:p w14:paraId="217CC502" w14:textId="77777777" w:rsidR="00FD5AEA" w:rsidRPr="00FD5AEA" w:rsidRDefault="00FD5AEA" w:rsidP="00FD5AEA">
        <w:pPr>
          <w:pStyle w:val="Header"/>
          <w:spacing w:line="480" w:lineRule="auto"/>
          <w:jc w:val="right"/>
          <w:rPr>
            <w:rFonts w:ascii="Times New Roman" w:hAnsi="Times New Roman" w:cs="Times New Roman"/>
            <w:sz w:val="24"/>
            <w:szCs w:val="24"/>
          </w:rPr>
        </w:pPr>
        <w:r w:rsidRPr="00FD5AEA">
          <w:rPr>
            <w:rFonts w:ascii="Times New Roman" w:hAnsi="Times New Roman" w:cs="Times New Roman"/>
            <w:sz w:val="24"/>
            <w:szCs w:val="24"/>
          </w:rPr>
          <w:fldChar w:fldCharType="begin"/>
        </w:r>
        <w:r w:rsidRPr="00FD5AEA">
          <w:rPr>
            <w:rFonts w:ascii="Times New Roman" w:hAnsi="Times New Roman" w:cs="Times New Roman"/>
            <w:sz w:val="24"/>
            <w:szCs w:val="24"/>
          </w:rPr>
          <w:instrText xml:space="preserve"> PAGE   \* MERGEFORMAT </w:instrText>
        </w:r>
        <w:r w:rsidRPr="00FD5AEA">
          <w:rPr>
            <w:rFonts w:ascii="Times New Roman" w:hAnsi="Times New Roman" w:cs="Times New Roman"/>
            <w:sz w:val="24"/>
            <w:szCs w:val="24"/>
          </w:rPr>
          <w:fldChar w:fldCharType="separate"/>
        </w:r>
        <w:r w:rsidR="00C6320B">
          <w:rPr>
            <w:rFonts w:ascii="Times New Roman" w:hAnsi="Times New Roman" w:cs="Times New Roman"/>
            <w:noProof/>
            <w:sz w:val="24"/>
            <w:szCs w:val="24"/>
          </w:rPr>
          <w:t>1</w:t>
        </w:r>
        <w:r w:rsidRPr="00FD5AEA">
          <w:rPr>
            <w:rFonts w:ascii="Times New Roman" w:hAnsi="Times New Roman" w:cs="Times New Roman"/>
            <w:sz w:val="24"/>
            <w:szCs w:val="24"/>
          </w:rPr>
          <w:fldChar w:fldCharType="end"/>
        </w:r>
      </w:p>
    </w:sdtContent>
  </w:sdt>
  <w:p w14:paraId="4A9EA8F4" w14:textId="77777777" w:rsidR="00FD5AEA" w:rsidRDefault="00FD5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EA"/>
    <w:rsid w:val="00047537"/>
    <w:rsid w:val="00074413"/>
    <w:rsid w:val="00164101"/>
    <w:rsid w:val="001A0FBF"/>
    <w:rsid w:val="00204ED2"/>
    <w:rsid w:val="00251614"/>
    <w:rsid w:val="00271F17"/>
    <w:rsid w:val="00272E4C"/>
    <w:rsid w:val="00303F5B"/>
    <w:rsid w:val="004215ED"/>
    <w:rsid w:val="00492987"/>
    <w:rsid w:val="004B0956"/>
    <w:rsid w:val="00527D5D"/>
    <w:rsid w:val="00564AB4"/>
    <w:rsid w:val="00595E47"/>
    <w:rsid w:val="005C2096"/>
    <w:rsid w:val="005D3671"/>
    <w:rsid w:val="005F4538"/>
    <w:rsid w:val="00853490"/>
    <w:rsid w:val="008B611D"/>
    <w:rsid w:val="00966035"/>
    <w:rsid w:val="00980F1D"/>
    <w:rsid w:val="009D29FC"/>
    <w:rsid w:val="00A216A3"/>
    <w:rsid w:val="00B50D50"/>
    <w:rsid w:val="00C619B0"/>
    <w:rsid w:val="00C6320B"/>
    <w:rsid w:val="00C755DF"/>
    <w:rsid w:val="00CF3FB0"/>
    <w:rsid w:val="00D270FF"/>
    <w:rsid w:val="00D41D61"/>
    <w:rsid w:val="00D55F81"/>
    <w:rsid w:val="00D653B7"/>
    <w:rsid w:val="00D71233"/>
    <w:rsid w:val="00D76D07"/>
    <w:rsid w:val="00E32C94"/>
    <w:rsid w:val="00ED0A3A"/>
    <w:rsid w:val="00F10C01"/>
    <w:rsid w:val="00FB754F"/>
    <w:rsid w:val="00FD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7620"/>
  <w15:docId w15:val="{6C6DA107-9961-47DE-9870-9CB7185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A"/>
  </w:style>
  <w:style w:type="paragraph" w:styleId="Footer">
    <w:name w:val="footer"/>
    <w:basedOn w:val="Normal"/>
    <w:link w:val="FooterChar"/>
    <w:uiPriority w:val="99"/>
    <w:semiHidden/>
    <w:unhideWhenUsed/>
    <w:rsid w:val="00FD5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AEA"/>
  </w:style>
  <w:style w:type="paragraph" w:styleId="NormalWeb">
    <w:name w:val="Normal (Web)"/>
    <w:basedOn w:val="Normal"/>
    <w:uiPriority w:val="99"/>
    <w:unhideWhenUsed/>
    <w:rsid w:val="004B0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54F"/>
    <w:rPr>
      <w:b/>
      <w:bCs/>
    </w:rPr>
  </w:style>
  <w:style w:type="character" w:styleId="Hyperlink">
    <w:name w:val="Hyperlink"/>
    <w:basedOn w:val="DefaultParagraphFont"/>
    <w:uiPriority w:val="99"/>
    <w:unhideWhenUsed/>
    <w:rsid w:val="00FB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797">
      <w:bodyDiv w:val="1"/>
      <w:marLeft w:val="0"/>
      <w:marRight w:val="0"/>
      <w:marTop w:val="0"/>
      <w:marBottom w:val="0"/>
      <w:divBdr>
        <w:top w:val="none" w:sz="0" w:space="0" w:color="auto"/>
        <w:left w:val="none" w:sz="0" w:space="0" w:color="auto"/>
        <w:bottom w:val="none" w:sz="0" w:space="0" w:color="auto"/>
        <w:right w:val="none" w:sz="0" w:space="0" w:color="auto"/>
      </w:divBdr>
    </w:div>
    <w:div w:id="1073312285">
      <w:bodyDiv w:val="1"/>
      <w:marLeft w:val="0"/>
      <w:marRight w:val="0"/>
      <w:marTop w:val="0"/>
      <w:marBottom w:val="0"/>
      <w:divBdr>
        <w:top w:val="none" w:sz="0" w:space="0" w:color="auto"/>
        <w:left w:val="none" w:sz="0" w:space="0" w:color="auto"/>
        <w:bottom w:val="none" w:sz="0" w:space="0" w:color="auto"/>
        <w:right w:val="none" w:sz="0" w:space="0" w:color="auto"/>
      </w:divBdr>
    </w:div>
    <w:div w:id="1389374000">
      <w:bodyDiv w:val="1"/>
      <w:marLeft w:val="0"/>
      <w:marRight w:val="0"/>
      <w:marTop w:val="0"/>
      <w:marBottom w:val="0"/>
      <w:divBdr>
        <w:top w:val="none" w:sz="0" w:space="0" w:color="auto"/>
        <w:left w:val="none" w:sz="0" w:space="0" w:color="auto"/>
        <w:bottom w:val="none" w:sz="0" w:space="0" w:color="auto"/>
        <w:right w:val="none" w:sz="0" w:space="0" w:color="auto"/>
      </w:divBdr>
    </w:div>
    <w:div w:id="1857619666">
      <w:bodyDiv w:val="1"/>
      <w:marLeft w:val="0"/>
      <w:marRight w:val="0"/>
      <w:marTop w:val="0"/>
      <w:marBottom w:val="0"/>
      <w:divBdr>
        <w:top w:val="none" w:sz="0" w:space="0" w:color="auto"/>
        <w:left w:val="none" w:sz="0" w:space="0" w:color="auto"/>
        <w:bottom w:val="none" w:sz="0" w:space="0" w:color="auto"/>
        <w:right w:val="none" w:sz="0" w:space="0" w:color="auto"/>
      </w:divBdr>
    </w:div>
    <w:div w:id="19348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2020-07-13T08:29:00Z</dcterms:created>
  <dcterms:modified xsi:type="dcterms:W3CDTF">2020-07-13T08:29:00Z</dcterms:modified>
</cp:coreProperties>
</file>