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C5" w:rsidRDefault="00862CC5">
      <w:pPr>
        <w:rPr>
          <w:b/>
          <w:u w:val="single"/>
        </w:rPr>
      </w:pPr>
    </w:p>
    <w:p w:rsidR="00862CC5" w:rsidRDefault="00862CC5">
      <w:pPr>
        <w:rPr>
          <w:b/>
          <w:u w:val="single"/>
        </w:rPr>
      </w:pPr>
    </w:p>
    <w:p w:rsidR="00862CC5" w:rsidRDefault="000C0FF4">
      <w:bookmarkStart w:id="0" w:name="_GoBack"/>
      <w:bookmarkEnd w:id="0"/>
      <w:r>
        <w:t>The following learning outcomes for the module are applicable to this assignment:</w:t>
      </w:r>
    </w:p>
    <w:p w:rsidR="00862CC5" w:rsidRDefault="000C0FF4">
      <w:pPr>
        <w:pStyle w:val="ListParagraph"/>
        <w:numPr>
          <w:ilvl w:val="0"/>
          <w:numId w:val="1"/>
        </w:numPr>
      </w:pPr>
      <w:r>
        <w:t xml:space="preserve">Critically evaluate assessment practices in a range of educational contexts, including your own, and analyse these in order to inform </w:t>
      </w:r>
      <w:r>
        <w:t>and enhance practice.</w:t>
      </w:r>
    </w:p>
    <w:p w:rsidR="00862CC5" w:rsidRDefault="000C0FF4">
      <w:pPr>
        <w:pStyle w:val="ListParagraph"/>
        <w:numPr>
          <w:ilvl w:val="0"/>
          <w:numId w:val="1"/>
        </w:numPr>
      </w:pPr>
      <w:r>
        <w:t>Evaluate the validity and reliability of different assessment forms (including e-assessment methods) and the appropriacy of their use for the stated purposes in a given educational context, identifying their advantages and shortcoming</w:t>
      </w:r>
      <w:r>
        <w:t>s.</w:t>
      </w:r>
    </w:p>
    <w:p w:rsidR="00862CC5" w:rsidRDefault="000C0FF4">
      <w:pPr>
        <w:pStyle w:val="ListParagraph"/>
        <w:numPr>
          <w:ilvl w:val="0"/>
          <w:numId w:val="1"/>
        </w:numPr>
        <w:rPr>
          <w:rFonts w:cstheme="minorHAnsi"/>
        </w:rPr>
      </w:pPr>
      <w:r>
        <w:t>Explain the relationship between assessment, feedback, learning and instruction both generally and in the context of your own teaching practice and context.</w:t>
      </w:r>
    </w:p>
    <w:p w:rsidR="00862CC5" w:rsidRDefault="000C0FF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Resubmission Question</w:t>
      </w:r>
    </w:p>
    <w:p w:rsidR="00862CC5" w:rsidRDefault="000C0FF4">
      <w:pPr>
        <w:rPr>
          <w:rFonts w:cstheme="minorHAnsi"/>
        </w:rPr>
      </w:pPr>
      <w:r>
        <w:rPr>
          <w:rFonts w:cstheme="minorHAnsi"/>
        </w:rPr>
        <w:t xml:space="preserve">Your response should be </w:t>
      </w:r>
      <w:r>
        <w:rPr>
          <w:rFonts w:cstheme="minorHAnsi"/>
          <w:b/>
        </w:rPr>
        <w:t>2,000</w:t>
      </w:r>
      <w:r>
        <w:rPr>
          <w:rFonts w:cstheme="minorHAnsi"/>
        </w:rPr>
        <w:t xml:space="preserve"> words.</w:t>
      </w:r>
    </w:p>
    <w:p w:rsidR="00862CC5" w:rsidRDefault="000C0FF4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Using the given background informatio</w:t>
      </w:r>
      <w:r>
        <w:rPr>
          <w:rFonts w:eastAsia="Times New Roman" w:cstheme="minorHAnsi"/>
          <w:i/>
          <w:iCs/>
        </w:rPr>
        <w:t xml:space="preserve">n and context in the Assessment Case Study provided below (pages 3-7), create a written </w:t>
      </w:r>
      <w:r>
        <w:rPr>
          <w:rFonts w:eastAsia="Times New Roman" w:cstheme="minorHAnsi"/>
          <w:b/>
          <w:bCs/>
          <w:i/>
          <w:iCs/>
        </w:rPr>
        <w:t>report</w:t>
      </w:r>
      <w:r>
        <w:rPr>
          <w:rFonts w:eastAsia="Times New Roman" w:cstheme="minorHAnsi"/>
          <w:i/>
          <w:iCs/>
        </w:rPr>
        <w:t xml:space="preserve"> which critically evaluates  the assessment tool (</w:t>
      </w:r>
      <w:r>
        <w:rPr>
          <w:rFonts w:eastAsia="Times New Roman" w:cstheme="minorHAnsi"/>
          <w:b/>
          <w:bCs/>
          <w:i/>
          <w:iCs/>
        </w:rPr>
        <w:t>case study report</w:t>
      </w:r>
      <w:r>
        <w:rPr>
          <w:rFonts w:eastAsia="Times New Roman" w:cstheme="minorHAnsi"/>
          <w:i/>
          <w:iCs/>
        </w:rPr>
        <w:t>) used to measure student learning and provide recommendations for enhancements to assessment p</w:t>
      </w:r>
      <w:r>
        <w:rPr>
          <w:rFonts w:eastAsia="Times New Roman" w:cstheme="minorHAnsi"/>
          <w:i/>
          <w:iCs/>
        </w:rPr>
        <w:t>ractice with reference to relevant literature and own teaching context.</w:t>
      </w:r>
    </w:p>
    <w:p w:rsidR="00862CC5" w:rsidRDefault="000C0FF4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b/>
          <w:bCs/>
        </w:rPr>
        <w:t>Guidance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Briefly present the Case study in your</w:t>
      </w:r>
      <w:r>
        <w:rPr>
          <w:rFonts w:eastAsia="Times New Roman" w:cstheme="minorHAnsi"/>
          <w:b/>
          <w:bCs/>
        </w:rPr>
        <w:t> Introduction</w:t>
      </w:r>
      <w:r>
        <w:rPr>
          <w:rFonts w:eastAsia="Times New Roman" w:cstheme="minorHAnsi"/>
        </w:rPr>
        <w:t>.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the current assessment tool/method used to measure student learning? Examine the </w:t>
      </w:r>
      <w:r>
        <w:rPr>
          <w:rFonts w:eastAsia="Times New Roman" w:cstheme="minorHAnsi"/>
          <w:b/>
          <w:bCs/>
        </w:rPr>
        <w:t>appropriacy</w:t>
      </w:r>
      <w:r>
        <w:rPr>
          <w:rFonts w:eastAsia="Times New Roman" w:cstheme="minorHAnsi"/>
        </w:rPr>
        <w:t> of its use for the st</w:t>
      </w:r>
      <w:r>
        <w:rPr>
          <w:rFonts w:eastAsia="Times New Roman" w:cstheme="minorHAnsi"/>
        </w:rPr>
        <w:t>ated purposes in the given educational context.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Evaluate the </w:t>
      </w:r>
      <w:r>
        <w:rPr>
          <w:rFonts w:eastAsia="Times New Roman" w:cstheme="minorHAnsi"/>
          <w:b/>
          <w:bCs/>
        </w:rPr>
        <w:t>validity, reliability</w:t>
      </w:r>
      <w:r>
        <w:rPr>
          <w:rFonts w:eastAsia="Times New Roman" w:cstheme="minorHAnsi"/>
        </w:rPr>
        <w:t> and</w:t>
      </w:r>
      <w:r>
        <w:rPr>
          <w:rFonts w:eastAsia="Times New Roman" w:cstheme="minorHAnsi"/>
          <w:b/>
          <w:bCs/>
        </w:rPr>
        <w:t> effectiveness</w:t>
      </w:r>
      <w:r>
        <w:rPr>
          <w:rFonts w:eastAsia="Times New Roman" w:cstheme="minorHAnsi"/>
        </w:rPr>
        <w:t> of the assessment tool/method with relation to theory/literature.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are the</w:t>
      </w:r>
      <w:r>
        <w:rPr>
          <w:rFonts w:eastAsia="Times New Roman" w:cstheme="minorHAnsi"/>
          <w:b/>
          <w:bCs/>
        </w:rPr>
        <w:t> strengths</w:t>
      </w:r>
      <w:r>
        <w:rPr>
          <w:rFonts w:eastAsia="Times New Roman" w:cstheme="minorHAnsi"/>
        </w:rPr>
        <w:t> of the particular assessment type?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are the areas of </w:t>
      </w:r>
      <w:r>
        <w:rPr>
          <w:rFonts w:eastAsia="Times New Roman" w:cstheme="minorHAnsi"/>
          <w:b/>
          <w:bCs/>
        </w:rPr>
        <w:t>weaknesse</w:t>
      </w:r>
      <w:r>
        <w:rPr>
          <w:rFonts w:eastAsia="Times New Roman" w:cstheme="minorHAnsi"/>
          <w:b/>
          <w:bCs/>
        </w:rPr>
        <w:t>s</w:t>
      </w:r>
      <w:r>
        <w:rPr>
          <w:rFonts w:eastAsia="Times New Roman" w:cstheme="minorHAnsi"/>
        </w:rPr>
        <w:t> of the particular assessment type?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Evaluate the </w:t>
      </w:r>
      <w:r>
        <w:rPr>
          <w:rFonts w:ascii="Calibri" w:hAnsi="Calibri" w:cs="Calibri"/>
          <w:b/>
          <w:bCs/>
          <w:color w:val="000000"/>
        </w:rPr>
        <w:t>conclusion</w:t>
      </w:r>
      <w:r>
        <w:rPr>
          <w:rFonts w:ascii="Calibri" w:hAnsi="Calibri" w:cs="Calibri"/>
          <w:color w:val="000000"/>
          <w:shd w:val="clear" w:color="auto" w:fill="FFFFFF"/>
        </w:rPr>
        <w:t> of the case study with relation to the successful introduction and use of digital assessment referring to relevant theory/literature. 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might you make r</w:t>
      </w:r>
      <w:r>
        <w:rPr>
          <w:rFonts w:eastAsia="Times New Roman" w:cstheme="minorHAnsi"/>
          <w:b/>
          <w:bCs/>
        </w:rPr>
        <w:t>ecommendations</w:t>
      </w:r>
      <w:r>
        <w:rPr>
          <w:rFonts w:eastAsia="Times New Roman" w:cstheme="minorHAnsi"/>
        </w:rPr>
        <w:t xml:space="preserve"> for enhancements to </w:t>
      </w:r>
      <w:r>
        <w:rPr>
          <w:rFonts w:eastAsia="Times New Roman" w:cstheme="minorHAnsi"/>
        </w:rPr>
        <w:t>assessment design and/or practice with reference to literature?</w:t>
      </w:r>
    </w:p>
    <w:p w:rsidR="00862CC5" w:rsidRDefault="000C0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Remember to provide a short summary of the main points in your </w:t>
      </w:r>
      <w:r>
        <w:rPr>
          <w:rFonts w:eastAsia="Times New Roman" w:cstheme="minorHAnsi"/>
          <w:b/>
          <w:bCs/>
        </w:rPr>
        <w:t>Conclusion.</w:t>
      </w: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</w:rPr>
      </w:pPr>
    </w:p>
    <w:p w:rsidR="00862CC5" w:rsidRDefault="000C0FF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Assessment Case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62CC5">
        <w:tc>
          <w:tcPr>
            <w:tcW w:w="10456" w:type="dxa"/>
            <w:shd w:val="clear" w:color="auto" w:fill="F2F2F2" w:themeFill="background1" w:themeFillShade="F2"/>
          </w:tcPr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  <w:t>Title: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Transforming assessment to enhance learners’ digital skills: a case study of introducing VLE-based digital assessments and feedback in an International Pre-Master’s programme subject module.  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Background information and Context 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This case study outlines th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 introduction and use of VLE e-assessment at an International Pre-Master’s Year compulsory subject module in Strategic Management. The module was developed as a result of an annual Programme Curriculum Review where a decision was made to introduce formati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 and summative digital assessment and feedback elements in this academic subject module in order to improve student experience and employment prospects via enhancing learners’ digital skills. 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This module aims to provide students with an overview of the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theory and practice of strategic management in business (and related) contexts, to develop students’ knowledge and understanding of key concepts and principles of strategy/strategic management and encourage critical evaluation of how they impact organisati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ons at corporate, business and operational levels, and to provide opportunities for students to practise and develop critical evaluation and digital skills through the application of theoretical knowledge to real-world business contexts and to identify and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appraise strategic management in action. Upon successful completion of this module, students should be able to demonstrate achievement of the following learning outcomes: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Module Learning Outcomes</w:t>
            </w:r>
          </w:p>
          <w:p w:rsidR="00862CC5" w:rsidRDefault="000C0FF4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Exemplify and explain key concepts in the field and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appraise the role and significance of these factors in the business context.</w:t>
            </w:r>
          </w:p>
          <w:p w:rsidR="00862CC5" w:rsidRDefault="000C0FF4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Explain how theory informs the stages involved in the strategic management process.</w:t>
            </w:r>
          </w:p>
          <w:p w:rsidR="00862CC5" w:rsidRDefault="000C0FF4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Evaluate how certain factors influence an organisation’s strategy and explain and critically ap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praise how strategic decisions might impact various levels of an organisation.</w:t>
            </w:r>
          </w:p>
          <w:p w:rsidR="00862CC5" w:rsidRDefault="000C0FF4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Explain and critically appraise the role of environmental analysis, innovation, entrepreneurship and business ethics in the development of strategy.</w:t>
            </w:r>
          </w:p>
          <w:p w:rsidR="00862CC5" w:rsidRDefault="000C0FF4">
            <w:pPr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Critically appraise the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strategic choices of a range of different business organisations with reference to relevant sources.</w:t>
            </w:r>
          </w:p>
          <w:p w:rsidR="00862CC5" w:rsidRDefault="00862CC5">
            <w:p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Academic Literacy Outcomes</w:t>
            </w:r>
          </w:p>
          <w:p w:rsidR="00862CC5" w:rsidRDefault="000C0FF4">
            <w:pPr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Use theoretical concepts to analyse real-world practices. </w:t>
            </w:r>
          </w:p>
          <w:p w:rsidR="00862CC5" w:rsidRDefault="000C0FF4">
            <w:pPr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Articulate an opinion and justify with reasoning, evidence or refere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nce to appropriate sources.</w:t>
            </w:r>
          </w:p>
          <w:p w:rsidR="00862CC5" w:rsidRDefault="000C0FF4">
            <w:pPr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Use subject-specific vocabulary effectively.</w:t>
            </w:r>
          </w:p>
          <w:p w:rsidR="00862CC5" w:rsidRDefault="000C0FF4">
            <w:pPr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Apply digital literacy skills to complete academic and real-world tasks.</w:t>
            </w:r>
          </w:p>
          <w:p w:rsidR="00862CC5" w:rsidRDefault="00862CC5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Contact and Study Hours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This module consists of 200 notional learning hours. It runs for 20 weeks in total, 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 two academic terms. Class contact hours are 60 and independent learning hours are 140. 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Learning and Teaching Methods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Classes are small and all sessions are highly interactive, involving tutor input, student-led discussion, small group work and individ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ual, and group presentations. Seminars are student-focused and emphasise the application of knowledge gained in the preceding lecture. </w:t>
            </w:r>
          </w:p>
          <w:p w:rsidR="00862CC5" w:rsidRDefault="000C0FF4">
            <w:pPr>
              <w:spacing w:after="160" w:line="360" w:lineRule="auto"/>
              <w:rPr>
                <w:rFonts w:ascii="Arial" w:eastAsia="Arial,MS Mincho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Incorporating Technology Enhanced Learning (TEL) and assessment include the following:</w:t>
            </w:r>
          </w:p>
          <w:p w:rsidR="00862CC5" w:rsidRDefault="000C0FF4">
            <w:pPr>
              <w:numPr>
                <w:ilvl w:val="0"/>
                <w:numId w:val="5"/>
              </w:numPr>
              <w:spacing w:before="60" w:after="120" w:line="360" w:lineRule="auto"/>
              <w:contextualSpacing/>
              <w:rPr>
                <w:rFonts w:ascii="Arial" w:eastAsia="Arial,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Delivery in line with integrating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blended approaches to learning and teaching.</w:t>
            </w:r>
          </w:p>
          <w:p w:rsidR="00862CC5" w:rsidRDefault="000C0FF4">
            <w:pPr>
              <w:numPr>
                <w:ilvl w:val="0"/>
                <w:numId w:val="5"/>
              </w:numPr>
              <w:spacing w:before="60" w:after="120" w:line="360" w:lineRule="auto"/>
              <w:contextualSpacing/>
              <w:rPr>
                <w:rFonts w:ascii="Arial" w:eastAsia="Arial,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Module overviews indicate opportunities for the integration of TEL both in class time and as directed self-study.</w:t>
            </w:r>
          </w:p>
          <w:p w:rsidR="00862CC5" w:rsidRDefault="000C0FF4">
            <w:pPr>
              <w:numPr>
                <w:ilvl w:val="0"/>
                <w:numId w:val="5"/>
              </w:numPr>
              <w:spacing w:before="60" w:after="120" w:line="360" w:lineRule="auto"/>
              <w:contextualSpacing/>
              <w:rPr>
                <w:rFonts w:ascii="Arial" w:eastAsia="Arial,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 variety of interaction, material and media to keep lessons fresh and engaging – particularly w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ith regards to sources of input and content.</w:t>
            </w:r>
          </w:p>
          <w:p w:rsidR="00862CC5" w:rsidRDefault="000C0FF4">
            <w:pPr>
              <w:numPr>
                <w:ilvl w:val="0"/>
                <w:numId w:val="5"/>
              </w:numPr>
              <w:spacing w:before="60" w:after="120" w:line="360" w:lineRule="auto"/>
              <w:contextualSpacing/>
              <w:rPr>
                <w:rFonts w:ascii="Arial" w:eastAsia="Arial,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 learning experience that meets the expectations of increasingly computer-literate students and prepares them adequately in this regard to study at a UK university.</w:t>
            </w:r>
          </w:p>
          <w:p w:rsidR="00862CC5" w:rsidRDefault="000C0FF4">
            <w:pPr>
              <w:numPr>
                <w:ilvl w:val="0"/>
                <w:numId w:val="5"/>
              </w:numPr>
              <w:spacing w:before="60" w:after="120" w:line="360" w:lineRule="auto"/>
              <w:contextualSpacing/>
              <w:rPr>
                <w:rFonts w:ascii="Arial" w:eastAsia="Arial,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Introduction of new digital assessments and f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eedback, the VLE-based exam and VLE-based Case study report feedback. </w:t>
            </w:r>
          </w:p>
          <w:p w:rsidR="00862CC5" w:rsidRDefault="00862CC5">
            <w:pPr>
              <w:spacing w:before="60" w:after="120" w:line="360" w:lineRule="auto"/>
              <w:ind w:left="720"/>
              <w:contextualSpacing/>
              <w:rPr>
                <w:rFonts w:ascii="Arial" w:eastAsia="Arial,MS Mincho" w:hAnsi="Arial" w:cs="Arial"/>
                <w:sz w:val="20"/>
                <w:szCs w:val="20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Topics/Themes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Definitions of ‘strategy’ and ‘strategic management’.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Strategic planning: analysis, mission, values and goal setting, strategy implementation and evaluation.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Strategic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management at three levels: corporate, business, operational/functional.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Strategic purpose and capability.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The role of culture in organisational effectiveness. 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Theories of organisational development, e.g. markets and products/services.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The principles of i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nternational strategy.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Innovation and entrepreneurship.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Business ethics.</w:t>
            </w:r>
          </w:p>
          <w:p w:rsidR="00862CC5" w:rsidRDefault="000C0FF4">
            <w:pPr>
              <w:numPr>
                <w:ilvl w:val="0"/>
                <w:numId w:val="6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Strategic management and other business disciplines, i.e. marketing.</w:t>
            </w:r>
          </w:p>
          <w:p w:rsidR="00862CC5" w:rsidRDefault="00862CC5">
            <w:p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Directed self-study</w:t>
            </w:r>
          </w:p>
          <w:p w:rsidR="00862CC5" w:rsidRDefault="000C0FF4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Learner autonomy is encouraged, but teachers will guide students in task selection, check set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tasks and give prompt and constructive feedback.</w:t>
            </w:r>
          </w:p>
          <w:p w:rsidR="00862CC5" w:rsidRDefault="000C0FF4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Teachers will make use of college Virtual Learning Environments (VLEs), as well as other electronic resources, to facilitate monitoring of students’ work, i.e. formative assessment activities such as mock V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LE-based tests, VLE and Kahoot quizzes, Padlet mini essays, etc. </w:t>
            </w:r>
          </w:p>
          <w:p w:rsidR="00862CC5" w:rsidRDefault="000C0FF4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Self-study tasks will be linked to the content delivered during contact time, allowing students to review and build upon the target subject content and skills.</w:t>
            </w:r>
          </w:p>
          <w:p w:rsidR="00862CC5" w:rsidRDefault="00862CC5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Overview of Assessment Strate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gy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As part of this module, students are required to complete a number of formative and summative assessment tasks at regular points throughout their programme. The focus of the formative assessments is on learning – students will receive feedback on their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performance and will have opportunities to demonstrate how they improve and progress towards the achievement of module learning outcomes in subsequent formative and/or summative assessment tasks.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2020"/>
              <w:gridCol w:w="2009"/>
            </w:tblGrid>
            <w:tr w:rsidR="00862CC5">
              <w:trPr>
                <w:trHeight w:val="452"/>
                <w:jc w:val="center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9D9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Assessment task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9D9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Weighting %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9D9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Indicative Timing</w:t>
                  </w:r>
                </w:p>
              </w:tc>
            </w:tr>
            <w:tr w:rsidR="00862CC5">
              <w:trPr>
                <w:trHeight w:val="452"/>
                <w:jc w:val="center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 xml:space="preserve">VLE-based exam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Formative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Week 6 (approx.)</w:t>
                  </w:r>
                </w:p>
              </w:tc>
            </w:tr>
            <w:tr w:rsidR="00862CC5">
              <w:trPr>
                <w:trHeight w:val="452"/>
                <w:jc w:val="center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VLE-based exam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Summative 40%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Week 10 (approx.)</w:t>
                  </w:r>
                </w:p>
              </w:tc>
            </w:tr>
            <w:tr w:rsidR="00862CC5">
              <w:trPr>
                <w:trHeight w:val="452"/>
                <w:jc w:val="center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Case study report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Summative 60%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2CC5" w:rsidRDefault="000C0FF4">
                  <w:pPr>
                    <w:spacing w:after="160" w:line="259" w:lineRule="auto"/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MS Mincho" w:hAnsi="Arial" w:cs="Arial"/>
                      <w:sz w:val="20"/>
                      <w:szCs w:val="20"/>
                      <w:lang w:eastAsia="en-US"/>
                    </w:rPr>
                    <w:t>End of module</w:t>
                  </w:r>
                </w:p>
              </w:tc>
            </w:tr>
          </w:tbl>
          <w:p w:rsidR="00862CC5" w:rsidRDefault="00862CC5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The VLE-based exam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This is a digital mid-module summative exam that covers themes 1-6 from module teams list. The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assessment comprises of 30 multiple-choice questions (MCQs) and 1 mark per question is awarded in the form of immediate feedback after exam completion. The exam weighting is 40% of the total module mark and the delivery mode is a VLE-based digitised assess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ment. The exam is automarked and the marks are reported as a percentage. The exam is developed by the Module Coordinator with the help of an assessment blueprint created by the Assessment Development Team. All items (individual questions) should meet the f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ollowing requirements:</w:t>
            </w:r>
          </w:p>
          <w:p w:rsidR="00862CC5" w:rsidRDefault="000C0FF4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Test acquired knowledge and the application of that knowledge rather than language skills.</w:t>
            </w:r>
          </w:p>
          <w:p w:rsidR="00862CC5" w:rsidRDefault="000C0FF4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Use direct and clear language.</w:t>
            </w:r>
          </w:p>
          <w:p w:rsidR="00862CC5" w:rsidRDefault="000C0FF4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Use terminology that has been used during lessons.</w:t>
            </w:r>
          </w:p>
          <w:p w:rsidR="00862CC5" w:rsidRDefault="000C0FF4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Focus on a single idea rather than a combination of subject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matters.</w:t>
            </w:r>
          </w:p>
          <w:p w:rsidR="00862CC5" w:rsidRDefault="000C0FF4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Ensure that all options are homogenous, plausible and as concise as possible (giving detail where required though).</w:t>
            </w:r>
          </w:p>
          <w:p w:rsidR="00862CC5" w:rsidRDefault="000C0FF4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Ensure that a representative sample across topics/themes is given in each version created and similar ground is not covered by more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than one item.</w:t>
            </w:r>
          </w:p>
          <w:p w:rsidR="00862CC5" w:rsidRDefault="00862CC5">
            <w:pPr>
              <w:spacing w:after="160" w:line="36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An MCQ item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example: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Businesses do not operate in isolation. They are affected by the activities of competitors, the power of buyers and/or suppliers, and customers’ response to their products in a highly competitive environment. Which one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of the following will be of most benefit to a company when planning strategy?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a) VRIO analysis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b) Game Theory 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c) Scenario analysis 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d) STP Process </w:t>
            </w:r>
          </w:p>
          <w:p w:rsidR="00862CC5" w:rsidRDefault="00862CC5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 ‘drag and drop’ item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example: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2950845" cy="164592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2CC5" w:rsidRDefault="00862CC5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The End-of-Module Case study report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Context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The world of business is r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apidly changing and becoming more international. As businesses internationalise, they face a great many opportunities and challenges and they must be aware of the impact of robotics and artificial intelligence on the way that they operate. As companies dev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elop their international businesses, they face a number of challenges. Businesses need to conduct an environmental analysis and innovate into new products or services that are appropriate for the international environment and understand the importance of b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usiness ethics in international operations. In addition to these operational factors, businesses face challenges as how to market their goods and services when they enter international markets.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Report writing task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Students should select two companies that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are not from their home country, and conduct research to find out how they have developed their international operations. The research will then be presented as a report of approx. 2000 words with the following sections:</w:t>
            </w:r>
          </w:p>
          <w:p w:rsidR="00862CC5" w:rsidRDefault="000C0FF4">
            <w:pPr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Section 1: Introduction </w:t>
            </w:r>
          </w:p>
          <w:p w:rsidR="00862CC5" w:rsidRDefault="000C0FF4">
            <w:pPr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Section 2: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International Development</w:t>
            </w:r>
          </w:p>
          <w:p w:rsidR="00862CC5" w:rsidRDefault="000C0FF4">
            <w:pPr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Section 3: Business Challenges </w:t>
            </w:r>
          </w:p>
          <w:p w:rsidR="00862CC5" w:rsidRDefault="000C0FF4">
            <w:pPr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Section 4: Factor evaluation </w:t>
            </w:r>
          </w:p>
          <w:p w:rsidR="00862CC5" w:rsidRDefault="000C0FF4">
            <w:pPr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Section 5: Conclusion </w:t>
            </w:r>
          </w:p>
          <w:p w:rsidR="00862CC5" w:rsidRDefault="000C0FF4">
            <w:pPr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Section 6: Reference list 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The assessment must be typed in Arial font 12, with 2.0 line spacing and submitted electronically via the VLE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Turnitin plug in page. Assessments submitted after the submission deadline may incur penalties or may not be accepted.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The assessment will be marked on the VLE and written feedback will also be provided on the VLE.  </w:t>
            </w:r>
          </w:p>
          <w:p w:rsidR="00862CC5" w:rsidRDefault="00862CC5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  <w:t>Conclusion</w:t>
            </w:r>
          </w:p>
          <w:p w:rsidR="00862CC5" w:rsidRDefault="000C0FF4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After the module was taught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for one academic year, the following important conclusions were made: the effective adoption and use of VLE-based digital assessments and feedback is achieved through reliable processes that encourage both student and staff trust in the systems and proces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ses adopted; additionally, via enhancing the student experience of assessment though clear and constructive feedback, and by allowing for timely and easily accessible feedback to be given to students. In turn, this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helped to increase staff confidence and 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articipation in delivering digital assessment, so that an increase both in digital VLE-based assessment and in the use of online feedback was seen. To illustrate and put the increase of digital assessment and feedback in context, during the 2018/19 academi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 year, approx. 70% of modules in the International Pre-Master’s programme had at least one formative or summative assessment that was submitted and/or received feedback via the VLE.</w:t>
            </w:r>
          </w:p>
        </w:tc>
      </w:tr>
    </w:tbl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  <w:u w:val="single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  <w:u w:val="single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73A3C"/>
          <w:u w:val="single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  <w:u w:val="single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  <w:u w:val="single"/>
        </w:rPr>
      </w:pPr>
    </w:p>
    <w:p w:rsidR="00862CC5" w:rsidRDefault="00862CC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  <w:u w:val="single"/>
        </w:rPr>
      </w:pPr>
    </w:p>
    <w:p w:rsidR="00862CC5" w:rsidRDefault="00862CC5"/>
    <w:sectPr w:rsidR="00862CC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F4" w:rsidRDefault="000C0FF4">
      <w:pPr>
        <w:spacing w:after="0" w:line="240" w:lineRule="auto"/>
      </w:pPr>
      <w:r>
        <w:separator/>
      </w:r>
    </w:p>
  </w:endnote>
  <w:endnote w:type="continuationSeparator" w:id="0">
    <w:p w:rsidR="000C0FF4" w:rsidRDefault="000C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MS Mincho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096783"/>
      <w:docPartObj>
        <w:docPartGallery w:val="AutoText"/>
      </w:docPartObj>
    </w:sdtPr>
    <w:sdtEndPr/>
    <w:sdtContent>
      <w:p w:rsidR="00862CC5" w:rsidRDefault="000C0F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2CC5" w:rsidRDefault="0086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F4" w:rsidRDefault="000C0FF4">
      <w:pPr>
        <w:spacing w:after="0" w:line="240" w:lineRule="auto"/>
      </w:pPr>
      <w:r>
        <w:separator/>
      </w:r>
    </w:p>
  </w:footnote>
  <w:footnote w:type="continuationSeparator" w:id="0">
    <w:p w:rsidR="000C0FF4" w:rsidRDefault="000C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C22"/>
    <w:multiLevelType w:val="multilevel"/>
    <w:tmpl w:val="02897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BA0"/>
    <w:multiLevelType w:val="multilevel"/>
    <w:tmpl w:val="21754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18D1"/>
    <w:multiLevelType w:val="multilevel"/>
    <w:tmpl w:val="21F318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91D08"/>
    <w:multiLevelType w:val="multilevel"/>
    <w:tmpl w:val="52C91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7711"/>
    <w:multiLevelType w:val="multilevel"/>
    <w:tmpl w:val="537C77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B58B3"/>
    <w:multiLevelType w:val="multilevel"/>
    <w:tmpl w:val="67FB58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4358B"/>
    <w:multiLevelType w:val="multilevel"/>
    <w:tmpl w:val="689435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D1031"/>
    <w:multiLevelType w:val="multilevel"/>
    <w:tmpl w:val="6B6D1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A500F"/>
    <w:multiLevelType w:val="multilevel"/>
    <w:tmpl w:val="6BEA500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D"/>
    <w:rsid w:val="00005368"/>
    <w:rsid w:val="000162CF"/>
    <w:rsid w:val="00046380"/>
    <w:rsid w:val="000909F8"/>
    <w:rsid w:val="000A666A"/>
    <w:rsid w:val="000C0FF4"/>
    <w:rsid w:val="000C7E86"/>
    <w:rsid w:val="000F7FEF"/>
    <w:rsid w:val="00127546"/>
    <w:rsid w:val="0013181C"/>
    <w:rsid w:val="00133BB0"/>
    <w:rsid w:val="00161D18"/>
    <w:rsid w:val="001D6793"/>
    <w:rsid w:val="001E669A"/>
    <w:rsid w:val="001F755E"/>
    <w:rsid w:val="0023730A"/>
    <w:rsid w:val="002645EB"/>
    <w:rsid w:val="00275C93"/>
    <w:rsid w:val="002E1025"/>
    <w:rsid w:val="002F09F9"/>
    <w:rsid w:val="00305068"/>
    <w:rsid w:val="003073FD"/>
    <w:rsid w:val="00323225"/>
    <w:rsid w:val="00363090"/>
    <w:rsid w:val="00370656"/>
    <w:rsid w:val="00371A67"/>
    <w:rsid w:val="003849A2"/>
    <w:rsid w:val="003C182D"/>
    <w:rsid w:val="003C31FC"/>
    <w:rsid w:val="003D1935"/>
    <w:rsid w:val="003E4A0F"/>
    <w:rsid w:val="00421921"/>
    <w:rsid w:val="004421B8"/>
    <w:rsid w:val="00483C63"/>
    <w:rsid w:val="0049677C"/>
    <w:rsid w:val="004D4C25"/>
    <w:rsid w:val="00514F9E"/>
    <w:rsid w:val="00585F6C"/>
    <w:rsid w:val="005E5D0A"/>
    <w:rsid w:val="006019BD"/>
    <w:rsid w:val="00613822"/>
    <w:rsid w:val="0063417C"/>
    <w:rsid w:val="00643DD1"/>
    <w:rsid w:val="00646D5A"/>
    <w:rsid w:val="00683F8F"/>
    <w:rsid w:val="006D2137"/>
    <w:rsid w:val="006D3D35"/>
    <w:rsid w:val="006D5B70"/>
    <w:rsid w:val="00794036"/>
    <w:rsid w:val="007C6BD8"/>
    <w:rsid w:val="00862CC5"/>
    <w:rsid w:val="008B3651"/>
    <w:rsid w:val="008C6B9B"/>
    <w:rsid w:val="00907FAC"/>
    <w:rsid w:val="0094097A"/>
    <w:rsid w:val="0096377C"/>
    <w:rsid w:val="0098328A"/>
    <w:rsid w:val="009A10CA"/>
    <w:rsid w:val="009B156F"/>
    <w:rsid w:val="009F7289"/>
    <w:rsid w:val="00AB0D62"/>
    <w:rsid w:val="00B14360"/>
    <w:rsid w:val="00B75B69"/>
    <w:rsid w:val="00BA25B8"/>
    <w:rsid w:val="00BD3430"/>
    <w:rsid w:val="00BF0A1B"/>
    <w:rsid w:val="00C11CC3"/>
    <w:rsid w:val="00C3386B"/>
    <w:rsid w:val="00C40040"/>
    <w:rsid w:val="00CC7D2D"/>
    <w:rsid w:val="00D009E6"/>
    <w:rsid w:val="00D52AE3"/>
    <w:rsid w:val="00D9665F"/>
    <w:rsid w:val="00DB5FF9"/>
    <w:rsid w:val="00DF2CFC"/>
    <w:rsid w:val="00E00BB0"/>
    <w:rsid w:val="00E019BE"/>
    <w:rsid w:val="00E03F0D"/>
    <w:rsid w:val="00E11D16"/>
    <w:rsid w:val="00EA436B"/>
    <w:rsid w:val="00F22831"/>
    <w:rsid w:val="00F24447"/>
    <w:rsid w:val="00F418EE"/>
    <w:rsid w:val="00F42F26"/>
    <w:rsid w:val="00FB3F62"/>
    <w:rsid w:val="00FB5BB9"/>
    <w:rsid w:val="00FE5CDD"/>
    <w:rsid w:val="00FF7CAB"/>
    <w:rsid w:val="50D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04D1B-9984-4D34-907A-C774268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82EF3177C5A42A3875E702EA06425" ma:contentTypeVersion="18" ma:contentTypeDescription="Create a new document." ma:contentTypeScope="" ma:versionID="25c6334881aaae65bf4781221f93feb4">
  <xsd:schema xmlns:xsd="http://www.w3.org/2001/XMLSchema" xmlns:xs="http://www.w3.org/2001/XMLSchema" xmlns:p="http://schemas.microsoft.com/office/2006/metadata/properties" xmlns:ns3="340bd04d-650e-4cd3-b75d-d61f9c8d7ff3" xmlns:ns4="4476b24e-e37f-40d6-912f-7d094c5070e9" targetNamespace="http://schemas.microsoft.com/office/2006/metadata/properties" ma:root="true" ma:fieldsID="852db77cd704fef93b317da95610eeed" ns3:_="" ns4:_="">
    <xsd:import namespace="340bd04d-650e-4cd3-b75d-d61f9c8d7ff3"/>
    <xsd:import namespace="4476b24e-e37f-40d6-912f-7d094c5070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bd04d-650e-4cd3-b75d-d61f9c8d7f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b24e-e37f-40d6-912f-7d094c50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340bd04d-650e-4cd3-b75d-d61f9c8d7ff3" xsi:nil="true"/>
    <MigrationWizIdDocumentLibraryPermissions xmlns="340bd04d-650e-4cd3-b75d-d61f9c8d7ff3" xsi:nil="true"/>
    <MigrationWizIdPermissions xmlns="340bd04d-650e-4cd3-b75d-d61f9c8d7ff3" xsi:nil="true"/>
    <MigrationWizIdSecurityGroups xmlns="340bd04d-650e-4cd3-b75d-d61f9c8d7ff3" xsi:nil="true"/>
    <MigrationWizId xmlns="340bd04d-650e-4cd3-b75d-d61f9c8d7ff3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2421-9119-4FF9-B32E-B89883DE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bd04d-650e-4cd3-b75d-d61f9c8d7ff3"/>
    <ds:schemaRef ds:uri="4476b24e-e37f-40d6-912f-7d094c50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B7461-3BDF-4ED0-92E1-274C143A0572}">
  <ds:schemaRefs>
    <ds:schemaRef ds:uri="http://schemas.microsoft.com/office/2006/metadata/properties"/>
    <ds:schemaRef ds:uri="http://schemas.microsoft.com/office/infopath/2007/PartnerControls"/>
    <ds:schemaRef ds:uri="340bd04d-650e-4cd3-b75d-d61f9c8d7ff3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BE18A7C-7047-4F9D-8AFD-194DB47969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EFF979-B958-4CB7-B5ED-78620975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Open Learning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4</cp:revision>
  <dcterms:created xsi:type="dcterms:W3CDTF">2020-07-11T14:57:00Z</dcterms:created>
  <dcterms:modified xsi:type="dcterms:W3CDTF">2020-07-11T14:58:00Z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0x01010098B82EF3177C5A42A3875E702EA06425</vt:lpwstr>
  </property>
  <property fmtid="{D5CDD505-2E9C-101B-9397-08002B2CF9AE}" pid="3" name="KSOProductBuildVer">
    <vt:lpwstr>1033-11.2.0.9453</vt:lpwstr>
  </property>
</Properties>
</file>